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7B" w:rsidRDefault="000E4FB5" w:rsidP="005F04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37071">
        <w:rPr>
          <w:b/>
          <w:sz w:val="24"/>
          <w:szCs w:val="24"/>
        </w:rPr>
        <w:t>Oznámenie</w:t>
      </w:r>
      <w:r w:rsidR="00D13C7B">
        <w:rPr>
          <w:b/>
          <w:sz w:val="24"/>
          <w:szCs w:val="24"/>
        </w:rPr>
        <w:t>Riadiaceho orgánu Programu rozvoja vidieka SR</w:t>
      </w:r>
    </w:p>
    <w:p w:rsidR="00A44D32" w:rsidRDefault="00EC6622" w:rsidP="005F04DF">
      <w:pPr>
        <w:spacing w:after="0" w:line="240" w:lineRule="auto"/>
        <w:jc w:val="center"/>
        <w:rPr>
          <w:b/>
          <w:sz w:val="24"/>
          <w:szCs w:val="24"/>
        </w:rPr>
      </w:pPr>
      <w:r w:rsidRPr="00734BA8">
        <w:rPr>
          <w:b/>
          <w:sz w:val="24"/>
          <w:szCs w:val="24"/>
        </w:rPr>
        <w:t xml:space="preserve">o realizácii neprojektových opatrení </w:t>
      </w:r>
      <w:r w:rsidR="00734BA8" w:rsidRPr="00734BA8">
        <w:rPr>
          <w:b/>
          <w:sz w:val="24"/>
          <w:szCs w:val="24"/>
        </w:rPr>
        <w:t xml:space="preserve">PRV </w:t>
      </w:r>
      <w:r w:rsidRPr="00734BA8">
        <w:rPr>
          <w:b/>
          <w:sz w:val="24"/>
          <w:szCs w:val="24"/>
        </w:rPr>
        <w:t>v</w:t>
      </w:r>
      <w:r w:rsidR="00734BA8" w:rsidRPr="00734BA8">
        <w:rPr>
          <w:b/>
          <w:sz w:val="24"/>
          <w:szCs w:val="24"/>
        </w:rPr>
        <w:t> </w:t>
      </w:r>
      <w:r w:rsidRPr="00734BA8">
        <w:rPr>
          <w:b/>
          <w:sz w:val="24"/>
          <w:szCs w:val="24"/>
        </w:rPr>
        <w:t>pre</w:t>
      </w:r>
      <w:r w:rsidR="00734BA8" w:rsidRPr="00734BA8">
        <w:rPr>
          <w:b/>
          <w:sz w:val="24"/>
          <w:szCs w:val="24"/>
        </w:rPr>
        <w:t>chodnom období (2021-2022)</w:t>
      </w:r>
    </w:p>
    <w:p w:rsidR="005F04DF" w:rsidRPr="00734BA8" w:rsidRDefault="005F04DF" w:rsidP="005F04DF">
      <w:pPr>
        <w:spacing w:after="0" w:line="240" w:lineRule="auto"/>
        <w:jc w:val="center"/>
        <w:rPr>
          <w:b/>
          <w:sz w:val="24"/>
          <w:szCs w:val="24"/>
        </w:rPr>
      </w:pPr>
    </w:p>
    <w:p w:rsidR="00734BA8" w:rsidRDefault="00734BA8" w:rsidP="00BF66A6">
      <w:pPr>
        <w:jc w:val="both"/>
      </w:pPr>
      <w:r>
        <w:t>Cieľom t</w:t>
      </w:r>
      <w:r w:rsidR="00F37071">
        <w:t>ohtooznámenia</w:t>
      </w:r>
      <w:r>
        <w:t xml:space="preserve"> je poskytnúť oprávneným poľnohospodárom,  s</w:t>
      </w:r>
      <w:r w:rsidRPr="00734BA8">
        <w:t>úkromn</w:t>
      </w:r>
      <w:r>
        <w:t>ým a verejným</w:t>
      </w:r>
      <w:r w:rsidRPr="00734BA8">
        <w:t xml:space="preserve"> obhospodarovate</w:t>
      </w:r>
      <w:r>
        <w:t>ľom</w:t>
      </w:r>
      <w:r w:rsidRPr="00734BA8">
        <w:t xml:space="preserve"> les</w:t>
      </w:r>
      <w:r>
        <w:t xml:space="preserve">ov </w:t>
      </w:r>
      <w:bookmarkStart w:id="0" w:name="_GoBack"/>
      <w:r w:rsidR="00F37071">
        <w:t>informácie o realizácii neprojektových opatrení Programu rozvoja vidieka  v prechodnom období</w:t>
      </w:r>
      <w:r w:rsidR="00D13C7B">
        <w:t xml:space="preserve"> rokov 2021-2022</w:t>
      </w:r>
      <w:r w:rsidR="00F37071">
        <w:t>.</w:t>
      </w:r>
    </w:p>
    <w:bookmarkEnd w:id="0"/>
    <w:p w:rsidR="00E27DD1" w:rsidRDefault="00E27DD1" w:rsidP="00716724">
      <w:pPr>
        <w:jc w:val="both"/>
      </w:pPr>
      <w:r>
        <w:t>N</w:t>
      </w:r>
      <w:r w:rsidR="00734BA8">
        <w:t>eprojektové opatrenia PRV</w:t>
      </w:r>
      <w:r w:rsidR="00F37071">
        <w:t xml:space="preserve">  budú v prechodnom období </w:t>
      </w:r>
      <w:r>
        <w:t>pokračovať nasledovným spôsobom:</w:t>
      </w:r>
    </w:p>
    <w:p w:rsidR="005679C9" w:rsidRPr="00D13C7B" w:rsidRDefault="00BF66A6" w:rsidP="00BF66A6">
      <w:pPr>
        <w:jc w:val="both"/>
        <w:rPr>
          <w:b/>
          <w:sz w:val="26"/>
          <w:szCs w:val="26"/>
        </w:rPr>
      </w:pPr>
      <w:r w:rsidRPr="00D13C7B">
        <w:rPr>
          <w:b/>
          <w:sz w:val="26"/>
          <w:szCs w:val="26"/>
          <w:u w:val="single"/>
        </w:rPr>
        <w:t xml:space="preserve">M10 </w:t>
      </w:r>
      <w:r w:rsidR="00642D9D" w:rsidRPr="00D13C7B">
        <w:rPr>
          <w:b/>
          <w:sz w:val="26"/>
          <w:szCs w:val="26"/>
          <w:u w:val="single"/>
        </w:rPr>
        <w:t xml:space="preserve"> Platba pri zaradení do agroenvironmentálno-klimatického opatrenia (AEKO)</w:t>
      </w:r>
      <w:r w:rsidR="005679C9" w:rsidRPr="00D13C7B">
        <w:rPr>
          <w:b/>
          <w:sz w:val="26"/>
          <w:szCs w:val="26"/>
        </w:rPr>
        <w:t>:</w:t>
      </w:r>
    </w:p>
    <w:p w:rsidR="00642D9D" w:rsidRPr="00BF66A6" w:rsidRDefault="00642D9D" w:rsidP="00BF66A6">
      <w:pPr>
        <w:jc w:val="both"/>
        <w:rPr>
          <w:b/>
        </w:rPr>
      </w:pPr>
      <w:r w:rsidRPr="00642D9D">
        <w:rPr>
          <w:b/>
        </w:rPr>
        <w:t>Agroenvironmentálno-klimatické opatreni</w:t>
      </w:r>
      <w:r w:rsidR="00F15C6A">
        <w:rPr>
          <w:b/>
        </w:rPr>
        <w:t>e</w:t>
      </w:r>
      <w:r w:rsidRPr="00642D9D">
        <w:rPr>
          <w:b/>
        </w:rPr>
        <w:t xml:space="preserve"> zahŕňa tieto operácie:</w:t>
      </w:r>
    </w:p>
    <w:p w:rsidR="00BF66A6" w:rsidRDefault="00210397" w:rsidP="00BC507F">
      <w:pPr>
        <w:pStyle w:val="ListParagraph"/>
        <w:numPr>
          <w:ilvl w:val="0"/>
          <w:numId w:val="12"/>
        </w:numPr>
        <w:jc w:val="both"/>
      </w:pPr>
      <w:r>
        <w:t>I</w:t>
      </w:r>
      <w:r w:rsidR="00BF66A6">
        <w:t>ntegrovaná produkcia v ovocinárstve,</w:t>
      </w:r>
    </w:p>
    <w:p w:rsidR="00BF66A6" w:rsidRDefault="00210397" w:rsidP="00BC507F">
      <w:pPr>
        <w:pStyle w:val="ListParagraph"/>
        <w:numPr>
          <w:ilvl w:val="0"/>
          <w:numId w:val="12"/>
        </w:numPr>
        <w:jc w:val="both"/>
      </w:pPr>
      <w:r>
        <w:t>I</w:t>
      </w:r>
      <w:r w:rsidR="00BF66A6">
        <w:t>ntegrovaná produkcia v zeleninárstve,</w:t>
      </w:r>
    </w:p>
    <w:p w:rsidR="00BF66A6" w:rsidRDefault="00210397" w:rsidP="00BC507F">
      <w:pPr>
        <w:pStyle w:val="ListParagraph"/>
        <w:numPr>
          <w:ilvl w:val="0"/>
          <w:numId w:val="12"/>
        </w:numPr>
        <w:jc w:val="both"/>
      </w:pPr>
      <w:r>
        <w:t>I</w:t>
      </w:r>
      <w:r w:rsidR="00BF66A6">
        <w:t>ntegrovaná produkcia vo vinohradníctve,</w:t>
      </w:r>
    </w:p>
    <w:p w:rsidR="00BF66A6" w:rsidRDefault="00210397" w:rsidP="00BC507F">
      <w:pPr>
        <w:pStyle w:val="ListParagraph"/>
        <w:numPr>
          <w:ilvl w:val="0"/>
          <w:numId w:val="12"/>
        </w:numPr>
        <w:jc w:val="both"/>
      </w:pPr>
      <w:r>
        <w:t>M</w:t>
      </w:r>
      <w:r w:rsidR="00BF66A6">
        <w:t>ultifunkčné okraje polí – biopásy na ornej pôde (ďalej len „multifunkčné pásy“),</w:t>
      </w:r>
    </w:p>
    <w:p w:rsidR="00BF66A6" w:rsidRDefault="00BC507F" w:rsidP="00BC507F">
      <w:pPr>
        <w:pStyle w:val="ListParagraph"/>
        <w:numPr>
          <w:ilvl w:val="0"/>
          <w:numId w:val="12"/>
        </w:numPr>
        <w:jc w:val="both"/>
      </w:pPr>
      <w:r>
        <w:t>O</w:t>
      </w:r>
      <w:r w:rsidR="00BF66A6">
        <w:t>chrana biotopov prírodných a poloprírodných trávnych porastov,</w:t>
      </w:r>
    </w:p>
    <w:p w:rsidR="00BF66A6" w:rsidRDefault="00210397" w:rsidP="00BC507F">
      <w:pPr>
        <w:pStyle w:val="ListParagraph"/>
        <w:numPr>
          <w:ilvl w:val="0"/>
          <w:numId w:val="12"/>
        </w:numPr>
        <w:jc w:val="both"/>
      </w:pPr>
      <w:r>
        <w:t>O</w:t>
      </w:r>
      <w:r w:rsidR="00BF66A6">
        <w:t>chrana biotopu sysľa pasienkového,</w:t>
      </w:r>
    </w:p>
    <w:p w:rsidR="00BF66A6" w:rsidRDefault="00210397" w:rsidP="00BC507F">
      <w:pPr>
        <w:pStyle w:val="ListParagraph"/>
        <w:numPr>
          <w:ilvl w:val="0"/>
          <w:numId w:val="12"/>
        </w:numPr>
        <w:jc w:val="both"/>
      </w:pPr>
      <w:r>
        <w:t>O</w:t>
      </w:r>
      <w:r w:rsidR="00BF66A6">
        <w:t>chrana biotopu dropa fúzatého,</w:t>
      </w:r>
    </w:p>
    <w:p w:rsidR="00BF66A6" w:rsidRDefault="00210397" w:rsidP="00BC507F">
      <w:pPr>
        <w:pStyle w:val="ListParagraph"/>
        <w:numPr>
          <w:ilvl w:val="0"/>
          <w:numId w:val="12"/>
        </w:numPr>
        <w:jc w:val="both"/>
      </w:pPr>
      <w:r>
        <w:t>O</w:t>
      </w:r>
      <w:r w:rsidR="00BF66A6">
        <w:t>chrana vodných zdrojov – Chránená vodohospodárska oblasť Žitný ostrov,</w:t>
      </w:r>
    </w:p>
    <w:p w:rsidR="00502046" w:rsidRDefault="00210397" w:rsidP="00322132">
      <w:pPr>
        <w:pStyle w:val="ListParagraph"/>
        <w:numPr>
          <w:ilvl w:val="0"/>
          <w:numId w:val="12"/>
        </w:numPr>
        <w:jc w:val="both"/>
      </w:pPr>
      <w:r>
        <w:t>C</w:t>
      </w:r>
      <w:r w:rsidR="00BF66A6">
        <w:t>hov a udržanie ohrozených druhov zvierat</w:t>
      </w:r>
    </w:p>
    <w:p w:rsidR="005F04DF" w:rsidRDefault="005F04DF" w:rsidP="005F04DF">
      <w:pPr>
        <w:pStyle w:val="ListParagraph"/>
        <w:ind w:left="360"/>
        <w:jc w:val="both"/>
      </w:pPr>
    </w:p>
    <w:p w:rsidR="00BF66A6" w:rsidRPr="00BF66A6" w:rsidRDefault="00BF66A6" w:rsidP="00BF66A6">
      <w:pPr>
        <w:pStyle w:val="ListParagraph"/>
        <w:numPr>
          <w:ilvl w:val="0"/>
          <w:numId w:val="1"/>
        </w:numPr>
        <w:rPr>
          <w:b/>
        </w:rPr>
      </w:pPr>
      <w:r w:rsidRPr="00BF66A6">
        <w:rPr>
          <w:b/>
        </w:rPr>
        <w:t xml:space="preserve">Záväzky z rokov 2017 a 2018 </w:t>
      </w:r>
    </w:p>
    <w:p w:rsidR="00DD5B83" w:rsidRDefault="00BF66A6" w:rsidP="00DD5B83">
      <w:pPr>
        <w:pStyle w:val="ListParagraph"/>
        <w:ind w:left="360"/>
        <w:jc w:val="both"/>
      </w:pPr>
      <w:r>
        <w:t xml:space="preserve">Záväzky na všetky operácie AEKO uzatvorené v roku 2017 a v roku 2018  pokračujú podľa pôvodne stanovených podmienok a pravidiel s </w:t>
      </w:r>
      <w:r w:rsidR="00DD5B83">
        <w:t>príslušnou</w:t>
      </w:r>
      <w:r>
        <w:t> výškou platieb t.z.</w:t>
      </w:r>
      <w:r w:rsidR="009E362D">
        <w:t>,</w:t>
      </w:r>
      <w:r>
        <w:t xml:space="preserve"> že </w:t>
      </w:r>
      <w:r w:rsidR="00DD5B83">
        <w:t xml:space="preserve">klasicky </w:t>
      </w:r>
      <w:r>
        <w:t>dobieha</w:t>
      </w:r>
      <w:r w:rsidR="00DD5B83">
        <w:t xml:space="preserve"> 5 ročné záväz</w:t>
      </w:r>
      <w:r w:rsidR="00210397">
        <w:t>né obdobie</w:t>
      </w:r>
      <w:r w:rsidR="00DD5B83">
        <w:t>.</w:t>
      </w:r>
    </w:p>
    <w:p w:rsidR="00BF66A6" w:rsidRDefault="00DD5B83" w:rsidP="00DD5B83">
      <w:pPr>
        <w:pStyle w:val="ListParagraph"/>
        <w:ind w:left="360"/>
        <w:jc w:val="both"/>
      </w:pPr>
      <w:r>
        <w:t xml:space="preserve">V prípade záväzkov z roku 2017, ktoré končia </w:t>
      </w:r>
      <w:r w:rsidR="00AD14B2">
        <w:t>31.12.</w:t>
      </w:r>
      <w:r>
        <w:t>2021, bude umožnené týmto žiadateľom predĺžiť svoj záväzok aj pre rok 2022.</w:t>
      </w:r>
    </w:p>
    <w:p w:rsidR="005679C9" w:rsidRDefault="005679C9" w:rsidP="00DD5B83">
      <w:pPr>
        <w:pStyle w:val="ListParagraph"/>
        <w:ind w:left="360"/>
        <w:jc w:val="both"/>
      </w:pPr>
    </w:p>
    <w:p w:rsidR="00DD5B83" w:rsidRPr="00DD5B83" w:rsidRDefault="00BF66A6" w:rsidP="00BF66A6">
      <w:pPr>
        <w:pStyle w:val="ListParagraph"/>
        <w:numPr>
          <w:ilvl w:val="0"/>
          <w:numId w:val="1"/>
        </w:numPr>
        <w:rPr>
          <w:b/>
        </w:rPr>
      </w:pPr>
      <w:r w:rsidRPr="00DD5B83">
        <w:rPr>
          <w:b/>
        </w:rPr>
        <w:t xml:space="preserve">Nové záväzky na </w:t>
      </w:r>
      <w:r w:rsidR="00DD5B83" w:rsidRPr="00DD5B83">
        <w:rPr>
          <w:b/>
        </w:rPr>
        <w:t>roky 2021- 2022</w:t>
      </w:r>
    </w:p>
    <w:p w:rsidR="005679C9" w:rsidRDefault="005679C9" w:rsidP="005679C9">
      <w:pPr>
        <w:pStyle w:val="ListParagraph"/>
        <w:ind w:left="360"/>
      </w:pPr>
      <w:r w:rsidRPr="005679C9">
        <w:t xml:space="preserve">PPA vyhlási výzvu </w:t>
      </w:r>
      <w:r>
        <w:t xml:space="preserve">pre všetky operácie AEKO </w:t>
      </w:r>
      <w:r w:rsidRPr="005679C9">
        <w:t xml:space="preserve">na nové dvojročné záväzky </w:t>
      </w:r>
      <w:r>
        <w:t>pre</w:t>
      </w:r>
      <w:r w:rsidRPr="005679C9">
        <w:t xml:space="preserve"> roky 2021 a</w:t>
      </w:r>
      <w:r>
        <w:t> </w:t>
      </w:r>
      <w:r w:rsidRPr="005679C9">
        <w:t>2022</w:t>
      </w:r>
      <w:r>
        <w:t>.</w:t>
      </w:r>
    </w:p>
    <w:p w:rsidR="005679C9" w:rsidRDefault="005679C9" w:rsidP="005679C9">
      <w:pPr>
        <w:pStyle w:val="ListParagraph"/>
        <w:ind w:left="360"/>
      </w:pPr>
    </w:p>
    <w:p w:rsidR="005679C9" w:rsidRDefault="005679C9" w:rsidP="002602D6">
      <w:pPr>
        <w:pStyle w:val="ListParagraph"/>
        <w:ind w:left="360"/>
        <w:jc w:val="both"/>
      </w:pPr>
      <w:r w:rsidRPr="005679C9">
        <w:t xml:space="preserve">Žiadosť  o poskytnutie podpory v  prechodnom období od 1. januára 2021 do 31. decembra 2022 môže podať </w:t>
      </w:r>
      <w:r w:rsidR="00E566DF">
        <w:t xml:space="preserve">ktorýkoľvek oprávnený </w:t>
      </w:r>
      <w:r w:rsidRPr="005679C9">
        <w:t>žiadateľ o poskytnutie podpory, ktorý nie je zaradený do niektorej operácie AEKO, a ktorý sa zaviaže plniť podmienky poskytnutia podpory  počas prechodného obdobia podľa nariadenia vlády č. 75/2015</w:t>
      </w:r>
      <w:r w:rsidR="009E362D">
        <w:t xml:space="preserve"> Z.z. v znení neskorších predpisov</w:t>
      </w:r>
      <w:r w:rsidRPr="005679C9">
        <w:t xml:space="preserve">  s niektorými explicitne vymenovanými upravenými podmienkami vzhľadom na dvojročné záväzkové obdobie a to:  </w:t>
      </w:r>
    </w:p>
    <w:p w:rsidR="00E566DF" w:rsidRPr="004B2E89" w:rsidRDefault="004B2E89" w:rsidP="004B2E89">
      <w:pPr>
        <w:ind w:firstLine="360"/>
        <w:rPr>
          <w:b/>
        </w:rPr>
      </w:pPr>
      <w:r w:rsidRPr="002602D6">
        <w:t>Pre operáciu</w:t>
      </w:r>
      <w:r w:rsidR="002602D6">
        <w:rPr>
          <w:b/>
        </w:rPr>
        <w:t>I</w:t>
      </w:r>
      <w:r w:rsidR="00E566DF" w:rsidRPr="004B2E89">
        <w:rPr>
          <w:b/>
        </w:rPr>
        <w:t xml:space="preserve">ntegrovaná produkcia v ovocinárstve, </w:t>
      </w:r>
    </w:p>
    <w:p w:rsidR="00E566DF" w:rsidRDefault="00D13C7B" w:rsidP="004B2E89">
      <w:pPr>
        <w:pStyle w:val="ListParagraph"/>
        <w:numPr>
          <w:ilvl w:val="0"/>
          <w:numId w:val="4"/>
        </w:numPr>
        <w:jc w:val="both"/>
      </w:pPr>
      <w:r>
        <w:t xml:space="preserve">zabezpečiť </w:t>
      </w:r>
      <w:r w:rsidR="00E566DF">
        <w:t>rozbor pôdnych vzoriek akreditovanou inštitúciou len v prvom roku prechodného obdobia,</w:t>
      </w:r>
    </w:p>
    <w:p w:rsidR="00E566DF" w:rsidRDefault="00E566DF" w:rsidP="00E566DF">
      <w:pPr>
        <w:pStyle w:val="ListParagraph"/>
        <w:ind w:left="360"/>
      </w:pPr>
    </w:p>
    <w:p w:rsidR="00E566DF" w:rsidRPr="004B2E89" w:rsidRDefault="002602D6" w:rsidP="004B2E89">
      <w:pPr>
        <w:ind w:firstLine="360"/>
        <w:rPr>
          <w:b/>
        </w:rPr>
      </w:pPr>
      <w:r w:rsidRPr="002602D6">
        <w:t>Pre operáciu</w:t>
      </w:r>
      <w:r>
        <w:rPr>
          <w:b/>
        </w:rPr>
        <w:t>I</w:t>
      </w:r>
      <w:r w:rsidR="00E566DF" w:rsidRPr="004B2E89">
        <w:rPr>
          <w:b/>
        </w:rPr>
        <w:t>ntegrovaná produkcia v zeleninárstve</w:t>
      </w:r>
    </w:p>
    <w:p w:rsidR="00E566DF" w:rsidRDefault="00D13C7B" w:rsidP="004B2E89">
      <w:pPr>
        <w:pStyle w:val="ListParagraph"/>
        <w:numPr>
          <w:ilvl w:val="0"/>
          <w:numId w:val="4"/>
        </w:numPr>
        <w:jc w:val="both"/>
      </w:pPr>
      <w:r>
        <w:t xml:space="preserve">zabezpečiť </w:t>
      </w:r>
      <w:r w:rsidR="00E566DF">
        <w:t>rozbor pôdnych vzoriek akreditovanou inštitúciou len v prvom roku prechodného obdobia,</w:t>
      </w:r>
    </w:p>
    <w:p w:rsidR="00E566DF" w:rsidRDefault="00E566DF" w:rsidP="00E566DF">
      <w:pPr>
        <w:pStyle w:val="ListParagraph"/>
        <w:ind w:left="360"/>
        <w:jc w:val="both"/>
      </w:pPr>
    </w:p>
    <w:p w:rsidR="00E566DF" w:rsidRDefault="004B2E89" w:rsidP="004B2E89">
      <w:pPr>
        <w:pStyle w:val="ListParagraph"/>
        <w:numPr>
          <w:ilvl w:val="0"/>
          <w:numId w:val="4"/>
        </w:numPr>
        <w:jc w:val="both"/>
      </w:pPr>
      <w:r w:rsidRPr="004B2E89">
        <w:lastRenderedPageBreak/>
        <w:t>zabezpečiť počas prechodného obdobia dvojročný osevný postup rotáciou pestovanej zeleniny a pestovanie zemiakov na rovnakom diele pôdneho bloku len raz počas prechodného obdobia pričom žiadateľ, ktorý bol v záväzku v programovom období 2014 – 2020 je povinný  zabezpečiť, aby sa zelenina rovnakého rodu uvedená v prílohe č. 15a časti A</w:t>
      </w:r>
      <w:r w:rsidR="00D13C7B">
        <w:t xml:space="preserve"> nariadenia vlády SR č.75/2013 Z.z. v znení neskorších predpisov </w:t>
      </w:r>
      <w:r w:rsidRPr="004B2E89">
        <w:t>nepestovala dva roky po sebe a zemiaky tri roky na tej istej ploche pôdneho bloku,</w:t>
      </w:r>
    </w:p>
    <w:p w:rsidR="004B2E89" w:rsidRDefault="004B2E89" w:rsidP="004B2E89">
      <w:pPr>
        <w:pStyle w:val="ListParagraph"/>
      </w:pPr>
    </w:p>
    <w:p w:rsidR="004B2E89" w:rsidRDefault="002602D6" w:rsidP="004B2E89">
      <w:pPr>
        <w:jc w:val="both"/>
      </w:pPr>
      <w:r w:rsidRPr="002602D6">
        <w:t>Pre operáciu</w:t>
      </w:r>
      <w:r>
        <w:rPr>
          <w:b/>
        </w:rPr>
        <w:t>I</w:t>
      </w:r>
      <w:r w:rsidR="004B2E89" w:rsidRPr="004B2E89">
        <w:rPr>
          <w:b/>
        </w:rPr>
        <w:t>ntegrovaná produkcia vo vinohradníctve</w:t>
      </w:r>
      <w:r>
        <w:rPr>
          <w:b/>
        </w:rPr>
        <w:t xml:space="preserve"> -</w:t>
      </w:r>
      <w:r w:rsidR="004B2E89" w:rsidRPr="004B2E89">
        <w:rPr>
          <w:b/>
        </w:rPr>
        <w:t xml:space="preserve"> mladé vinohrady</w:t>
      </w:r>
    </w:p>
    <w:p w:rsidR="004B2E89" w:rsidRDefault="00D0452C" w:rsidP="004B2E89">
      <w:pPr>
        <w:pStyle w:val="ListParagraph"/>
        <w:numPr>
          <w:ilvl w:val="0"/>
          <w:numId w:val="5"/>
        </w:numPr>
        <w:jc w:val="both"/>
      </w:pPr>
      <w:r>
        <w:t xml:space="preserve">zabezpečiť po výsadbe </w:t>
      </w:r>
      <w:r w:rsidR="004B2E89">
        <w:t xml:space="preserve">zelené hnojenie vysiatím a zapravením vikovitých rastlín do pôdy najmenej v množstve 80 kg/ha osiva, jedenkrát v prechodnom období, </w:t>
      </w:r>
    </w:p>
    <w:p w:rsidR="004B2E89" w:rsidRDefault="00D0452C" w:rsidP="004B2E89">
      <w:pPr>
        <w:pStyle w:val="ListParagraph"/>
        <w:numPr>
          <w:ilvl w:val="0"/>
          <w:numId w:val="5"/>
        </w:numPr>
        <w:jc w:val="both"/>
      </w:pPr>
      <w:r>
        <w:t xml:space="preserve">zabezpečiť </w:t>
      </w:r>
      <w:r w:rsidR="004B2E89">
        <w:t>po výsadbe v každom druhom medziradí súvislý bylinný porast zatrávnením alebo zazelenaním alebo realizovať hospodárenie na terasách do konca druhého roka  prechodného obdobia,</w:t>
      </w:r>
    </w:p>
    <w:p w:rsidR="004B2E89" w:rsidRDefault="002602D6" w:rsidP="004B2E89">
      <w:pPr>
        <w:jc w:val="both"/>
        <w:rPr>
          <w:b/>
        </w:rPr>
      </w:pPr>
      <w:r w:rsidRPr="002602D6">
        <w:t>Pre operáciu</w:t>
      </w:r>
      <w:r>
        <w:rPr>
          <w:b/>
        </w:rPr>
        <w:t>O</w:t>
      </w:r>
      <w:r w:rsidR="004B2E89" w:rsidRPr="004B2E89">
        <w:rPr>
          <w:b/>
        </w:rPr>
        <w:t>chrana biotopov prírodných a poloprírodných trávnych porastov</w:t>
      </w:r>
    </w:p>
    <w:p w:rsidR="004B2E89" w:rsidRDefault="00D0452C" w:rsidP="004B2E89">
      <w:pPr>
        <w:pStyle w:val="ListParagraph"/>
        <w:numPr>
          <w:ilvl w:val="0"/>
          <w:numId w:val="6"/>
        </w:numPr>
        <w:jc w:val="both"/>
      </w:pPr>
      <w:r>
        <w:t xml:space="preserve">realizovať </w:t>
      </w:r>
      <w:r w:rsidR="004B2E89">
        <w:t>mulčova</w:t>
      </w:r>
      <w:r>
        <w:t>nie</w:t>
      </w:r>
      <w:r w:rsidR="004B2E89">
        <w:t xml:space="preserve"> na rovnakej ploche ako doplnkové agrotechnické opatrenie zamerané proti šíreniu náletových drevín, m</w:t>
      </w:r>
      <w:r>
        <w:t>o</w:t>
      </w:r>
      <w:r w:rsidR="004B2E89">
        <w:t>ž</w:t>
      </w:r>
      <w:r w:rsidR="00210397">
        <w:t>no</w:t>
      </w:r>
      <w:r w:rsidR="004B2E89">
        <w:t xml:space="preserve"> len jedenkrát počas prechodného obdobia</w:t>
      </w:r>
    </w:p>
    <w:p w:rsidR="004B2E89" w:rsidRDefault="002602D6" w:rsidP="004B2E89">
      <w:pPr>
        <w:jc w:val="both"/>
        <w:rPr>
          <w:b/>
        </w:rPr>
      </w:pPr>
      <w:r w:rsidRPr="002602D6">
        <w:t>Pre operáciu</w:t>
      </w:r>
      <w:r>
        <w:rPr>
          <w:b/>
        </w:rPr>
        <w:t>O</w:t>
      </w:r>
      <w:r w:rsidR="004B2E89" w:rsidRPr="004B2E89">
        <w:rPr>
          <w:b/>
        </w:rPr>
        <w:t>chrana vodných zdrojov – Chránená vodohospodárska oblasť Žitný ostrov</w:t>
      </w:r>
    </w:p>
    <w:p w:rsidR="004B2E89" w:rsidRDefault="004B2E89" w:rsidP="004B2E89">
      <w:pPr>
        <w:pStyle w:val="ListParagraph"/>
        <w:numPr>
          <w:ilvl w:val="0"/>
          <w:numId w:val="6"/>
        </w:numPr>
        <w:jc w:val="both"/>
      </w:pPr>
      <w:r>
        <w:t>zabezpečiť jesenný rozbor pôdnych vzoriek akreditovanou inštitúciou na obsah minerálneho dusíka</w:t>
      </w:r>
      <w:r w:rsidR="00210397">
        <w:t>v druhom roku prechodného obdobia</w:t>
      </w:r>
      <w:r>
        <w:t xml:space="preserve">; miesto odberu vzoriek sa musí zaznamenať globálnym lokalizačným systémom </w:t>
      </w:r>
    </w:p>
    <w:p w:rsidR="004B2E89" w:rsidRDefault="009B11B0" w:rsidP="004B2E89">
      <w:pPr>
        <w:jc w:val="both"/>
        <w:rPr>
          <w:b/>
        </w:rPr>
      </w:pPr>
      <w:r w:rsidRPr="009B11B0">
        <w:t xml:space="preserve">Pre operáciu  </w:t>
      </w:r>
      <w:r w:rsidRPr="009B11B0">
        <w:rPr>
          <w:b/>
        </w:rPr>
        <w:t>Chov a udržanie ohrozených druhov zvierat</w:t>
      </w:r>
    </w:p>
    <w:p w:rsidR="00210397" w:rsidRDefault="00F95A11" w:rsidP="00210397">
      <w:pPr>
        <w:pStyle w:val="ListParagraph"/>
        <w:numPr>
          <w:ilvl w:val="0"/>
          <w:numId w:val="6"/>
        </w:numPr>
        <w:jc w:val="both"/>
      </w:pPr>
      <w:r>
        <w:t>u</w:t>
      </w:r>
      <w:r w:rsidR="00210397">
        <w:t xml:space="preserve">pravuje sa </w:t>
      </w:r>
      <w:r w:rsidR="00210397" w:rsidRPr="00210397">
        <w:t xml:space="preserve"> retenčn</w:t>
      </w:r>
      <w:r w:rsidR="00210397">
        <w:t>é</w:t>
      </w:r>
      <w:r w:rsidR="00210397" w:rsidRPr="00210397">
        <w:t xml:space="preserve"> obdob</w:t>
      </w:r>
      <w:r w:rsidR="00210397">
        <w:t xml:space="preserve">ie povinnej držby zvierat </w:t>
      </w:r>
      <w:r w:rsidR="009E362D">
        <w:t>a to</w:t>
      </w:r>
      <w:r w:rsidR="00210397">
        <w:t>:</w:t>
      </w:r>
      <w:r w:rsidR="00210397" w:rsidRPr="00210397">
        <w:t xml:space="preserve"> od 1. mája  roku podania žiadosti do 28. februára nasledujúceho roku</w:t>
      </w:r>
    </w:p>
    <w:p w:rsidR="00D0452C" w:rsidRPr="00D0452C" w:rsidRDefault="00D0452C" w:rsidP="00D0452C">
      <w:pPr>
        <w:pStyle w:val="ListParagraph"/>
        <w:numPr>
          <w:ilvl w:val="0"/>
          <w:numId w:val="6"/>
        </w:numPr>
      </w:pPr>
      <w:r w:rsidRPr="00D0452C">
        <w:t>dočasné presuny zvierat, evidované v centrálnom registri hospodárskych zvierat, sú povolené a náhrada zvierat sa nevyžaduje v rozsahu najviac 14 dní</w:t>
      </w:r>
      <w:r w:rsidR="009E362D">
        <w:t>.</w:t>
      </w:r>
    </w:p>
    <w:p w:rsidR="00210397" w:rsidRPr="00A66FD0" w:rsidRDefault="00210397" w:rsidP="00642D9D">
      <w:pPr>
        <w:pStyle w:val="ListParagraph"/>
        <w:jc w:val="both"/>
        <w:rPr>
          <w:sz w:val="20"/>
          <w:szCs w:val="20"/>
        </w:rPr>
      </w:pPr>
    </w:p>
    <w:p w:rsidR="002602D6" w:rsidRPr="00A66FD0" w:rsidRDefault="002602D6" w:rsidP="00A66FD0">
      <w:pPr>
        <w:jc w:val="both"/>
        <w:rPr>
          <w:b/>
        </w:rPr>
      </w:pPr>
      <w:r w:rsidRPr="00A66FD0">
        <w:rPr>
          <w:b/>
        </w:rPr>
        <w:t>Školiaci kurz</w:t>
      </w:r>
    </w:p>
    <w:p w:rsidR="004B2E89" w:rsidRDefault="004B2E89" w:rsidP="002602D6">
      <w:pPr>
        <w:jc w:val="both"/>
      </w:pPr>
      <w:r>
        <w:t xml:space="preserve">Podmienku absolvovať školiaci kurz </w:t>
      </w:r>
      <w:r w:rsidR="002602D6" w:rsidRPr="002602D6">
        <w:t xml:space="preserve">do konca prvého roka prechodného obdobia a zaslať potvrdenie o absolvovaní školiaceho kurzu </w:t>
      </w:r>
      <w:r w:rsidR="002602D6">
        <w:t xml:space="preserve">PPA </w:t>
      </w:r>
      <w:r>
        <w:t xml:space="preserve">je povinný </w:t>
      </w:r>
      <w:r w:rsidR="002602D6">
        <w:t xml:space="preserve">iba </w:t>
      </w:r>
      <w:r>
        <w:t xml:space="preserve">žiadateľ, ktorý </w:t>
      </w:r>
      <w:r w:rsidR="002602D6">
        <w:t xml:space="preserve">v období 2014 - 2020 </w:t>
      </w:r>
      <w:r>
        <w:t xml:space="preserve">školiaci kurz </w:t>
      </w:r>
      <w:r w:rsidR="002602D6">
        <w:t>neabsolvoval.</w:t>
      </w:r>
    </w:p>
    <w:p w:rsidR="002602D6" w:rsidRPr="00A66FD0" w:rsidRDefault="002602D6" w:rsidP="00A66FD0">
      <w:pPr>
        <w:jc w:val="both"/>
        <w:rPr>
          <w:b/>
        </w:rPr>
      </w:pPr>
      <w:r w:rsidRPr="00A66FD0">
        <w:rPr>
          <w:b/>
        </w:rPr>
        <w:t xml:space="preserve">Predpokladané platby pre nové záväzky </w:t>
      </w:r>
      <w:r w:rsidR="009B11B0" w:rsidRPr="00A66FD0">
        <w:rPr>
          <w:b/>
        </w:rPr>
        <w:t xml:space="preserve">AEKO </w:t>
      </w:r>
      <w:r w:rsidRPr="00A66FD0">
        <w:rPr>
          <w:b/>
        </w:rPr>
        <w:t>v prechodnom období</w:t>
      </w:r>
    </w:p>
    <w:p w:rsidR="002602D6" w:rsidRPr="00B22EEF" w:rsidRDefault="002602D6" w:rsidP="002602D6">
      <w:pPr>
        <w:spacing w:after="0" w:line="276" w:lineRule="auto"/>
        <w:rPr>
          <w:rFonts w:cstheme="minorHAnsi"/>
          <w:b/>
        </w:rPr>
      </w:pPr>
      <w:r w:rsidRPr="00B22EEF">
        <w:rPr>
          <w:rFonts w:cstheme="minorHAnsi"/>
          <w:b/>
        </w:rPr>
        <w:t>Integrovaná produkcia v</w:t>
      </w:r>
      <w:r>
        <w:rPr>
          <w:rFonts w:cstheme="minorHAnsi"/>
          <w:b/>
        </w:rPr>
        <w:t> </w:t>
      </w:r>
      <w:r w:rsidRPr="00B22EEF">
        <w:rPr>
          <w:rFonts w:cstheme="minorHAnsi"/>
          <w:b/>
        </w:rPr>
        <w:t>ovocinárstve</w:t>
      </w:r>
    </w:p>
    <w:tbl>
      <w:tblPr>
        <w:tblStyle w:val="TableGrid"/>
        <w:tblW w:w="0" w:type="auto"/>
        <w:tblLook w:val="04A0"/>
      </w:tblPr>
      <w:tblGrid>
        <w:gridCol w:w="3738"/>
        <w:gridCol w:w="1360"/>
      </w:tblGrid>
      <w:tr w:rsidR="002602D6" w:rsidRPr="002602D6" w:rsidTr="002602D6">
        <w:trPr>
          <w:trHeight w:val="271"/>
        </w:trPr>
        <w:tc>
          <w:tcPr>
            <w:tcW w:w="3738" w:type="dxa"/>
          </w:tcPr>
          <w:p w:rsidR="002602D6" w:rsidRPr="002602D6" w:rsidRDefault="002602D6" w:rsidP="00322132">
            <w:pPr>
              <w:spacing w:line="276" w:lineRule="auto"/>
              <w:rPr>
                <w:rFonts w:cstheme="minorHAnsi"/>
                <w:b/>
              </w:rPr>
            </w:pPr>
            <w:r w:rsidRPr="002602D6">
              <w:rPr>
                <w:rFonts w:cstheme="minorHAnsi"/>
                <w:b/>
              </w:rPr>
              <w:t>Rodiace ovocné sady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2602D6">
              <w:rPr>
                <w:rFonts w:cstheme="minorHAnsi"/>
                <w:b/>
              </w:rPr>
              <w:t>€/ha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t>Jadroviny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590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t>Kôstkoviny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433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t>Škrupinové druhy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287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t>Drobné ovocie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168</w:t>
            </w:r>
          </w:p>
        </w:tc>
      </w:tr>
      <w:tr w:rsidR="002602D6" w:rsidRPr="002602D6" w:rsidTr="002602D6">
        <w:trPr>
          <w:trHeight w:val="271"/>
        </w:trPr>
        <w:tc>
          <w:tcPr>
            <w:tcW w:w="3738" w:type="dxa"/>
          </w:tcPr>
          <w:p w:rsidR="002602D6" w:rsidRPr="002602D6" w:rsidRDefault="002602D6" w:rsidP="00322132">
            <w:pPr>
              <w:spacing w:line="276" w:lineRule="auto"/>
              <w:rPr>
                <w:rFonts w:cstheme="minorHAnsi"/>
                <w:b/>
              </w:rPr>
            </w:pPr>
            <w:r w:rsidRPr="002602D6">
              <w:rPr>
                <w:rFonts w:cstheme="minorHAnsi"/>
                <w:b/>
              </w:rPr>
              <w:t>Mladé ovocné sady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2602D6">
              <w:rPr>
                <w:rFonts w:cstheme="minorHAnsi"/>
                <w:b/>
              </w:rPr>
              <w:t>€/ha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t>Jadroviny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451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t>Kôstkoviny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330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lastRenderedPageBreak/>
              <w:t>Škrupinové druhy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214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t>Drobné ovocie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133</w:t>
            </w:r>
          </w:p>
        </w:tc>
      </w:tr>
      <w:tr w:rsidR="002602D6" w:rsidRPr="002602D6" w:rsidTr="002602D6">
        <w:trPr>
          <w:trHeight w:val="271"/>
        </w:trPr>
        <w:tc>
          <w:tcPr>
            <w:tcW w:w="3738" w:type="dxa"/>
          </w:tcPr>
          <w:p w:rsidR="002602D6" w:rsidRPr="002602D6" w:rsidRDefault="002602D6" w:rsidP="00322132">
            <w:pPr>
              <w:spacing w:line="276" w:lineRule="auto"/>
              <w:rPr>
                <w:rFonts w:cstheme="minorHAnsi"/>
                <w:b/>
              </w:rPr>
            </w:pPr>
            <w:r w:rsidRPr="002602D6">
              <w:rPr>
                <w:rFonts w:cstheme="minorHAnsi"/>
                <w:b/>
              </w:rPr>
              <w:t>Ostatné ovocné sady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2602D6">
              <w:rPr>
                <w:rFonts w:cstheme="minorHAnsi"/>
                <w:b/>
              </w:rPr>
              <w:t>€/ha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t>Jadroviny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360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t>Kôstkoviny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278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t>Škrupinové druhy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196</w:t>
            </w:r>
          </w:p>
        </w:tc>
      </w:tr>
      <w:tr w:rsidR="002602D6" w:rsidRPr="002602D6" w:rsidTr="002602D6">
        <w:trPr>
          <w:trHeight w:val="280"/>
        </w:trPr>
        <w:tc>
          <w:tcPr>
            <w:tcW w:w="3738" w:type="dxa"/>
          </w:tcPr>
          <w:p w:rsidR="002602D6" w:rsidRPr="002602D6" w:rsidRDefault="002602D6" w:rsidP="002602D6">
            <w:pPr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2602D6">
              <w:rPr>
                <w:rFonts w:cstheme="minorHAnsi"/>
              </w:rPr>
              <w:t>Drobné ovocie</w:t>
            </w:r>
          </w:p>
        </w:tc>
        <w:tc>
          <w:tcPr>
            <w:tcW w:w="1360" w:type="dxa"/>
          </w:tcPr>
          <w:p w:rsidR="002602D6" w:rsidRPr="002602D6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2602D6">
              <w:rPr>
                <w:rFonts w:cstheme="minorHAnsi"/>
              </w:rPr>
              <w:t>140</w:t>
            </w:r>
          </w:p>
        </w:tc>
      </w:tr>
    </w:tbl>
    <w:p w:rsidR="002602D6" w:rsidRPr="00B22EEF" w:rsidRDefault="002602D6" w:rsidP="002602D6">
      <w:pPr>
        <w:spacing w:after="0" w:line="276" w:lineRule="auto"/>
        <w:rPr>
          <w:rFonts w:cstheme="minorHAnsi"/>
          <w:sz w:val="20"/>
          <w:szCs w:val="20"/>
        </w:rPr>
      </w:pPr>
    </w:p>
    <w:p w:rsidR="002602D6" w:rsidRPr="00B22EEF" w:rsidRDefault="002602D6" w:rsidP="002602D6">
      <w:pPr>
        <w:spacing w:after="0" w:line="276" w:lineRule="auto"/>
        <w:rPr>
          <w:rFonts w:cstheme="minorHAnsi"/>
          <w:b/>
        </w:rPr>
      </w:pPr>
      <w:r w:rsidRPr="00B22EEF">
        <w:rPr>
          <w:rFonts w:cstheme="minorHAnsi"/>
          <w:b/>
        </w:rPr>
        <w:t>Integrovaná produkcia v</w:t>
      </w:r>
      <w:r>
        <w:rPr>
          <w:rFonts w:cstheme="minorHAnsi"/>
          <w:b/>
        </w:rPr>
        <w:t> </w:t>
      </w:r>
      <w:r w:rsidRPr="00B22EEF">
        <w:rPr>
          <w:rFonts w:cstheme="minorHAnsi"/>
          <w:b/>
        </w:rPr>
        <w:t>zeleninárstva</w:t>
      </w:r>
    </w:p>
    <w:tbl>
      <w:tblPr>
        <w:tblStyle w:val="TableGrid"/>
        <w:tblW w:w="5098" w:type="dxa"/>
        <w:tblLook w:val="04A0"/>
      </w:tblPr>
      <w:tblGrid>
        <w:gridCol w:w="3681"/>
        <w:gridCol w:w="1417"/>
      </w:tblGrid>
      <w:tr w:rsidR="002602D6" w:rsidRPr="00B22EEF" w:rsidTr="00AB041B">
        <w:trPr>
          <w:trHeight w:val="302"/>
        </w:trPr>
        <w:tc>
          <w:tcPr>
            <w:tcW w:w="3681" w:type="dxa"/>
          </w:tcPr>
          <w:p w:rsidR="002602D6" w:rsidRPr="00B22EEF" w:rsidRDefault="002602D6" w:rsidP="00322132">
            <w:p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Druh</w:t>
            </w:r>
          </w:p>
        </w:tc>
        <w:tc>
          <w:tcPr>
            <w:tcW w:w="1417" w:type="dxa"/>
          </w:tcPr>
          <w:p w:rsidR="002602D6" w:rsidRPr="00B22EEF" w:rsidRDefault="002602D6" w:rsidP="002602D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2EEF">
              <w:rPr>
                <w:rFonts w:cstheme="minorHAnsi"/>
                <w:b/>
              </w:rPr>
              <w:t>€/ha</w:t>
            </w:r>
          </w:p>
        </w:tc>
      </w:tr>
      <w:tr w:rsidR="002602D6" w:rsidRPr="00B22EEF" w:rsidTr="00AB041B">
        <w:trPr>
          <w:trHeight w:val="312"/>
        </w:trPr>
        <w:tc>
          <w:tcPr>
            <w:tcW w:w="3681" w:type="dxa"/>
          </w:tcPr>
          <w:p w:rsidR="002602D6" w:rsidRPr="00B22EEF" w:rsidRDefault="002602D6" w:rsidP="002602D6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Zelenina</w:t>
            </w:r>
          </w:p>
        </w:tc>
        <w:tc>
          <w:tcPr>
            <w:tcW w:w="1417" w:type="dxa"/>
          </w:tcPr>
          <w:p w:rsidR="002602D6" w:rsidRPr="00B22EEF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B22EEF">
              <w:rPr>
                <w:rFonts w:cstheme="minorHAnsi"/>
              </w:rPr>
              <w:t>503</w:t>
            </w:r>
          </w:p>
        </w:tc>
      </w:tr>
      <w:tr w:rsidR="002602D6" w:rsidRPr="00B22EEF" w:rsidTr="00AB041B">
        <w:trPr>
          <w:trHeight w:val="312"/>
        </w:trPr>
        <w:tc>
          <w:tcPr>
            <w:tcW w:w="3681" w:type="dxa"/>
          </w:tcPr>
          <w:p w:rsidR="002602D6" w:rsidRPr="00B22EEF" w:rsidRDefault="002602D6" w:rsidP="002602D6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 xml:space="preserve">Zemiaky </w:t>
            </w:r>
          </w:p>
        </w:tc>
        <w:tc>
          <w:tcPr>
            <w:tcW w:w="1417" w:type="dxa"/>
          </w:tcPr>
          <w:p w:rsidR="002602D6" w:rsidRPr="00B22EEF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B22EEF">
              <w:rPr>
                <w:rFonts w:cstheme="minorHAnsi"/>
              </w:rPr>
              <w:t>302</w:t>
            </w:r>
          </w:p>
        </w:tc>
      </w:tr>
      <w:tr w:rsidR="002602D6" w:rsidRPr="00B22EEF" w:rsidTr="00AB041B">
        <w:trPr>
          <w:trHeight w:val="312"/>
        </w:trPr>
        <w:tc>
          <w:tcPr>
            <w:tcW w:w="3681" w:type="dxa"/>
          </w:tcPr>
          <w:p w:rsidR="002602D6" w:rsidRPr="00B22EEF" w:rsidRDefault="002602D6" w:rsidP="002602D6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Jahody</w:t>
            </w:r>
          </w:p>
        </w:tc>
        <w:tc>
          <w:tcPr>
            <w:tcW w:w="1417" w:type="dxa"/>
          </w:tcPr>
          <w:p w:rsidR="002602D6" w:rsidRPr="00B22EEF" w:rsidRDefault="002602D6" w:rsidP="002602D6">
            <w:pPr>
              <w:spacing w:line="276" w:lineRule="auto"/>
              <w:jc w:val="center"/>
              <w:rPr>
                <w:rFonts w:cstheme="minorHAnsi"/>
              </w:rPr>
            </w:pPr>
            <w:r w:rsidRPr="00B22EEF">
              <w:rPr>
                <w:rFonts w:cstheme="minorHAnsi"/>
              </w:rPr>
              <w:t>505</w:t>
            </w:r>
          </w:p>
        </w:tc>
      </w:tr>
    </w:tbl>
    <w:p w:rsidR="002602D6" w:rsidRDefault="002602D6" w:rsidP="002602D6">
      <w:pPr>
        <w:spacing w:after="0" w:line="276" w:lineRule="auto"/>
        <w:rPr>
          <w:rFonts w:cstheme="minorHAnsi"/>
        </w:rPr>
      </w:pPr>
    </w:p>
    <w:tbl>
      <w:tblPr>
        <w:tblStyle w:val="TableGrid"/>
        <w:tblW w:w="5103" w:type="dxa"/>
        <w:tblLook w:val="04A0"/>
      </w:tblPr>
      <w:tblGrid>
        <w:gridCol w:w="3686"/>
        <w:gridCol w:w="1417"/>
      </w:tblGrid>
      <w:tr w:rsidR="002602D6" w:rsidRPr="00B22EEF" w:rsidTr="002602D6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2D6" w:rsidRPr="00B22EEF" w:rsidRDefault="002602D6" w:rsidP="00322132">
            <w:pPr>
              <w:spacing w:line="276" w:lineRule="auto"/>
              <w:rPr>
                <w:rFonts w:cstheme="minorHAnsi"/>
                <w:b/>
              </w:rPr>
            </w:pPr>
            <w:r w:rsidRPr="00B22EEF">
              <w:rPr>
                <w:rFonts w:cstheme="minorHAnsi"/>
                <w:b/>
              </w:rPr>
              <w:t>Integrovaná produkcia vo vinohradníctve</w:t>
            </w:r>
          </w:p>
        </w:tc>
      </w:tr>
      <w:tr w:rsidR="002602D6" w:rsidRPr="00B22EEF" w:rsidTr="00AB041B">
        <w:tc>
          <w:tcPr>
            <w:tcW w:w="3686" w:type="dxa"/>
          </w:tcPr>
          <w:p w:rsidR="002602D6" w:rsidRPr="00B22EEF" w:rsidRDefault="002602D6" w:rsidP="00322132">
            <w:p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Druh</w:t>
            </w:r>
          </w:p>
        </w:tc>
        <w:tc>
          <w:tcPr>
            <w:tcW w:w="1417" w:type="dxa"/>
          </w:tcPr>
          <w:p w:rsidR="002602D6" w:rsidRPr="00B22EEF" w:rsidRDefault="002602D6" w:rsidP="00AB041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2EEF">
              <w:rPr>
                <w:rFonts w:cstheme="minorHAnsi"/>
                <w:b/>
              </w:rPr>
              <w:t>€/ha</w:t>
            </w:r>
          </w:p>
        </w:tc>
      </w:tr>
      <w:tr w:rsidR="002602D6" w:rsidRPr="00B22EEF" w:rsidTr="00AB041B">
        <w:tc>
          <w:tcPr>
            <w:tcW w:w="3686" w:type="dxa"/>
          </w:tcPr>
          <w:p w:rsidR="002602D6" w:rsidRPr="00B22EEF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Rodiace vinohrady</w:t>
            </w:r>
          </w:p>
        </w:tc>
        <w:tc>
          <w:tcPr>
            <w:tcW w:w="1417" w:type="dxa"/>
          </w:tcPr>
          <w:p w:rsidR="002602D6" w:rsidRPr="00B22EEF" w:rsidRDefault="002602D6" w:rsidP="00AB041B">
            <w:pPr>
              <w:spacing w:line="276" w:lineRule="auto"/>
              <w:jc w:val="center"/>
              <w:rPr>
                <w:rFonts w:cstheme="minorHAnsi"/>
              </w:rPr>
            </w:pPr>
            <w:r w:rsidRPr="00B22EEF">
              <w:rPr>
                <w:rFonts w:cstheme="minorHAnsi"/>
              </w:rPr>
              <w:t>590</w:t>
            </w:r>
          </w:p>
        </w:tc>
      </w:tr>
      <w:tr w:rsidR="002602D6" w:rsidRPr="00B22EEF" w:rsidTr="00AB041B">
        <w:tc>
          <w:tcPr>
            <w:tcW w:w="3686" w:type="dxa"/>
          </w:tcPr>
          <w:p w:rsidR="002602D6" w:rsidRPr="00B22EEF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Mladé vinohrady</w:t>
            </w:r>
          </w:p>
        </w:tc>
        <w:tc>
          <w:tcPr>
            <w:tcW w:w="1417" w:type="dxa"/>
          </w:tcPr>
          <w:p w:rsidR="002602D6" w:rsidRPr="00B22EEF" w:rsidRDefault="002602D6" w:rsidP="00AB041B">
            <w:pPr>
              <w:spacing w:line="276" w:lineRule="auto"/>
              <w:jc w:val="center"/>
              <w:rPr>
                <w:rFonts w:cstheme="minorHAnsi"/>
              </w:rPr>
            </w:pPr>
            <w:r w:rsidRPr="00B22EEF">
              <w:rPr>
                <w:rFonts w:cstheme="minorHAnsi"/>
              </w:rPr>
              <w:t>449</w:t>
            </w:r>
          </w:p>
        </w:tc>
      </w:tr>
    </w:tbl>
    <w:p w:rsidR="002602D6" w:rsidRDefault="002602D6" w:rsidP="002602D6">
      <w:pPr>
        <w:spacing w:after="0" w:line="276" w:lineRule="auto"/>
        <w:rPr>
          <w:rFonts w:cstheme="minorHAnsi"/>
        </w:rPr>
      </w:pPr>
    </w:p>
    <w:p w:rsidR="002602D6" w:rsidRPr="00B22EEF" w:rsidRDefault="002602D6" w:rsidP="002602D6">
      <w:pPr>
        <w:spacing w:after="0" w:line="276" w:lineRule="auto"/>
        <w:rPr>
          <w:rFonts w:cstheme="minorHAnsi"/>
          <w:b/>
        </w:rPr>
      </w:pPr>
      <w:r w:rsidRPr="00B22EEF">
        <w:rPr>
          <w:rFonts w:cstheme="minorHAnsi"/>
          <w:b/>
        </w:rPr>
        <w:t>Ochrana biotopov poloprírodných a prírodných trávnych porastov</w:t>
      </w:r>
    </w:p>
    <w:tbl>
      <w:tblPr>
        <w:tblStyle w:val="TableGrid"/>
        <w:tblW w:w="5103" w:type="dxa"/>
        <w:tblInd w:w="-5" w:type="dxa"/>
        <w:tblLook w:val="04A0"/>
      </w:tblPr>
      <w:tblGrid>
        <w:gridCol w:w="3686"/>
        <w:gridCol w:w="1417"/>
      </w:tblGrid>
      <w:tr w:rsidR="002602D6" w:rsidRPr="00B22EEF" w:rsidTr="00AB041B">
        <w:tc>
          <w:tcPr>
            <w:tcW w:w="3686" w:type="dxa"/>
          </w:tcPr>
          <w:p w:rsidR="002602D6" w:rsidRPr="00B22EEF" w:rsidRDefault="002602D6" w:rsidP="00322132">
            <w:p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TYP</w:t>
            </w:r>
          </w:p>
        </w:tc>
        <w:tc>
          <w:tcPr>
            <w:tcW w:w="1417" w:type="dxa"/>
          </w:tcPr>
          <w:p w:rsidR="002602D6" w:rsidRPr="00B22EEF" w:rsidRDefault="002602D6" w:rsidP="00AB041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2EEF">
              <w:rPr>
                <w:rFonts w:cstheme="minorHAnsi"/>
                <w:b/>
              </w:rPr>
              <w:t>€/ha</w:t>
            </w:r>
          </w:p>
        </w:tc>
      </w:tr>
      <w:tr w:rsidR="002602D6" w:rsidRPr="00B22EEF" w:rsidTr="00AB041B">
        <w:tc>
          <w:tcPr>
            <w:tcW w:w="3686" w:type="dxa"/>
          </w:tcPr>
          <w:p w:rsidR="002602D6" w:rsidRPr="00B22EEF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B,D,E</w:t>
            </w:r>
          </w:p>
        </w:tc>
        <w:tc>
          <w:tcPr>
            <w:tcW w:w="1417" w:type="dxa"/>
          </w:tcPr>
          <w:p w:rsidR="002602D6" w:rsidRPr="00B22EEF" w:rsidRDefault="002602D6" w:rsidP="00AB041B">
            <w:pPr>
              <w:spacing w:line="276" w:lineRule="auto"/>
              <w:jc w:val="center"/>
              <w:rPr>
                <w:rFonts w:cstheme="minorHAnsi"/>
              </w:rPr>
            </w:pPr>
            <w:r w:rsidRPr="00B22EEF">
              <w:rPr>
                <w:rFonts w:cstheme="minorHAnsi"/>
              </w:rPr>
              <w:t>87,33</w:t>
            </w:r>
          </w:p>
        </w:tc>
      </w:tr>
      <w:tr w:rsidR="002602D6" w:rsidRPr="00B22EEF" w:rsidTr="00AB041B">
        <w:tc>
          <w:tcPr>
            <w:tcW w:w="3686" w:type="dxa"/>
          </w:tcPr>
          <w:p w:rsidR="002602D6" w:rsidRPr="00B22EEF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A,C,F,G</w:t>
            </w:r>
          </w:p>
        </w:tc>
        <w:tc>
          <w:tcPr>
            <w:tcW w:w="1417" w:type="dxa"/>
          </w:tcPr>
          <w:p w:rsidR="002602D6" w:rsidRPr="00B22EEF" w:rsidRDefault="002602D6" w:rsidP="00AB041B">
            <w:pPr>
              <w:spacing w:line="276" w:lineRule="auto"/>
              <w:jc w:val="center"/>
              <w:rPr>
                <w:rFonts w:cstheme="minorHAnsi"/>
              </w:rPr>
            </w:pPr>
            <w:r w:rsidRPr="00B22EEF">
              <w:rPr>
                <w:rFonts w:cstheme="minorHAnsi"/>
              </w:rPr>
              <w:t>174</w:t>
            </w:r>
          </w:p>
        </w:tc>
      </w:tr>
    </w:tbl>
    <w:p w:rsidR="002602D6" w:rsidRDefault="002602D6" w:rsidP="002602D6">
      <w:pPr>
        <w:spacing w:after="0" w:line="276" w:lineRule="auto"/>
        <w:rPr>
          <w:rFonts w:cstheme="minorHAnsi"/>
        </w:rPr>
      </w:pPr>
    </w:p>
    <w:tbl>
      <w:tblPr>
        <w:tblStyle w:val="TableGrid"/>
        <w:tblW w:w="5098" w:type="dxa"/>
        <w:tblLook w:val="04A0"/>
      </w:tblPr>
      <w:tblGrid>
        <w:gridCol w:w="3681"/>
        <w:gridCol w:w="1417"/>
      </w:tblGrid>
      <w:tr w:rsidR="002602D6" w:rsidRPr="00B22EEF" w:rsidTr="00AB041B">
        <w:tc>
          <w:tcPr>
            <w:tcW w:w="3681" w:type="dxa"/>
          </w:tcPr>
          <w:p w:rsidR="002602D6" w:rsidRPr="00E86E08" w:rsidRDefault="002602D6" w:rsidP="00322132">
            <w:pPr>
              <w:spacing w:line="276" w:lineRule="auto"/>
              <w:rPr>
                <w:rFonts w:cstheme="minorHAnsi"/>
                <w:b/>
              </w:rPr>
            </w:pPr>
            <w:r w:rsidRPr="00E86E08">
              <w:rPr>
                <w:rFonts w:cstheme="minorHAnsi"/>
                <w:b/>
              </w:rPr>
              <w:t>operácie</w:t>
            </w:r>
          </w:p>
        </w:tc>
        <w:tc>
          <w:tcPr>
            <w:tcW w:w="1417" w:type="dxa"/>
          </w:tcPr>
          <w:p w:rsidR="002602D6" w:rsidRPr="00B22EEF" w:rsidRDefault="002602D6" w:rsidP="00AB041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2EEF">
              <w:rPr>
                <w:rFonts w:cstheme="minorHAnsi"/>
                <w:b/>
              </w:rPr>
              <w:t>€/ha</w:t>
            </w:r>
          </w:p>
        </w:tc>
      </w:tr>
      <w:tr w:rsidR="002602D6" w:rsidRPr="00B22EEF" w:rsidTr="00AB041B">
        <w:tc>
          <w:tcPr>
            <w:tcW w:w="3681" w:type="dxa"/>
          </w:tcPr>
          <w:p w:rsidR="002602D6" w:rsidRPr="00B22EEF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Biopásy</w:t>
            </w:r>
          </w:p>
        </w:tc>
        <w:tc>
          <w:tcPr>
            <w:tcW w:w="1417" w:type="dxa"/>
          </w:tcPr>
          <w:p w:rsidR="002602D6" w:rsidRPr="00B22EEF" w:rsidRDefault="002602D6" w:rsidP="00AB041B">
            <w:pPr>
              <w:spacing w:line="276" w:lineRule="auto"/>
              <w:jc w:val="center"/>
              <w:rPr>
                <w:rFonts w:cstheme="minorHAnsi"/>
              </w:rPr>
            </w:pPr>
            <w:r w:rsidRPr="00B22EEF">
              <w:rPr>
                <w:rFonts w:cstheme="minorHAnsi"/>
              </w:rPr>
              <w:t>482,2</w:t>
            </w:r>
          </w:p>
        </w:tc>
      </w:tr>
      <w:tr w:rsidR="002602D6" w:rsidRPr="00B22EEF" w:rsidTr="00AB041B">
        <w:tc>
          <w:tcPr>
            <w:tcW w:w="3681" w:type="dxa"/>
          </w:tcPr>
          <w:p w:rsidR="002602D6" w:rsidRPr="00B22EEF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Ochrana sysľa</w:t>
            </w:r>
          </w:p>
        </w:tc>
        <w:tc>
          <w:tcPr>
            <w:tcW w:w="1417" w:type="dxa"/>
          </w:tcPr>
          <w:p w:rsidR="002602D6" w:rsidRPr="00B22EEF" w:rsidRDefault="002602D6" w:rsidP="00AB041B">
            <w:pPr>
              <w:spacing w:line="276" w:lineRule="auto"/>
              <w:jc w:val="center"/>
              <w:rPr>
                <w:rFonts w:cstheme="minorHAnsi"/>
              </w:rPr>
            </w:pPr>
            <w:r w:rsidRPr="00B22EEF">
              <w:rPr>
                <w:rFonts w:cstheme="minorHAnsi"/>
              </w:rPr>
              <w:t>70</w:t>
            </w:r>
          </w:p>
        </w:tc>
      </w:tr>
      <w:tr w:rsidR="002602D6" w:rsidRPr="00B22EEF" w:rsidTr="00AB041B">
        <w:tc>
          <w:tcPr>
            <w:tcW w:w="3681" w:type="dxa"/>
          </w:tcPr>
          <w:p w:rsidR="002602D6" w:rsidRPr="00B22EEF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Ochrana dropa</w:t>
            </w:r>
          </w:p>
        </w:tc>
        <w:tc>
          <w:tcPr>
            <w:tcW w:w="1417" w:type="dxa"/>
          </w:tcPr>
          <w:p w:rsidR="002602D6" w:rsidRPr="00B22EEF" w:rsidRDefault="002602D6" w:rsidP="00AB041B">
            <w:pPr>
              <w:spacing w:line="276" w:lineRule="auto"/>
              <w:jc w:val="center"/>
              <w:rPr>
                <w:rFonts w:cstheme="minorHAnsi"/>
              </w:rPr>
            </w:pPr>
            <w:r w:rsidRPr="00B22EEF">
              <w:rPr>
                <w:rFonts w:cstheme="minorHAnsi"/>
              </w:rPr>
              <w:t>86</w:t>
            </w:r>
          </w:p>
        </w:tc>
      </w:tr>
      <w:tr w:rsidR="002602D6" w:rsidRPr="00B22EEF" w:rsidTr="00AB041B">
        <w:tc>
          <w:tcPr>
            <w:tcW w:w="3681" w:type="dxa"/>
          </w:tcPr>
          <w:p w:rsidR="002602D6" w:rsidRPr="00B22EEF" w:rsidRDefault="002602D6" w:rsidP="002602D6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r w:rsidRPr="00B22EEF">
              <w:rPr>
                <w:rFonts w:cstheme="minorHAnsi"/>
              </w:rPr>
              <w:t>CHVO-Žitný ostrov</w:t>
            </w:r>
          </w:p>
        </w:tc>
        <w:tc>
          <w:tcPr>
            <w:tcW w:w="1417" w:type="dxa"/>
          </w:tcPr>
          <w:p w:rsidR="002602D6" w:rsidRPr="00B22EEF" w:rsidRDefault="002602D6" w:rsidP="00AB041B">
            <w:pPr>
              <w:spacing w:line="276" w:lineRule="auto"/>
              <w:jc w:val="center"/>
              <w:rPr>
                <w:rFonts w:cstheme="minorHAnsi"/>
              </w:rPr>
            </w:pPr>
            <w:r w:rsidRPr="00B22EEF">
              <w:rPr>
                <w:rFonts w:cstheme="minorHAnsi"/>
              </w:rPr>
              <w:t>35,82</w:t>
            </w:r>
          </w:p>
        </w:tc>
      </w:tr>
    </w:tbl>
    <w:p w:rsidR="002602D6" w:rsidRDefault="002602D6" w:rsidP="002602D6">
      <w:pPr>
        <w:spacing w:after="0" w:line="276" w:lineRule="auto"/>
        <w:rPr>
          <w:rFonts w:cstheme="minorHAnsi"/>
        </w:rPr>
      </w:pPr>
    </w:p>
    <w:p w:rsidR="002602D6" w:rsidRDefault="002602D6" w:rsidP="002602D6">
      <w:pPr>
        <w:spacing w:after="0" w:line="276" w:lineRule="auto"/>
        <w:rPr>
          <w:rFonts w:cstheme="minorHAnsi"/>
        </w:rPr>
      </w:pPr>
    </w:p>
    <w:p w:rsidR="002602D6" w:rsidRDefault="002602D6" w:rsidP="002602D6">
      <w:pPr>
        <w:spacing w:after="0" w:line="276" w:lineRule="auto"/>
        <w:rPr>
          <w:rFonts w:cstheme="minorHAnsi"/>
        </w:rPr>
      </w:pPr>
    </w:p>
    <w:p w:rsidR="00A5378C" w:rsidRDefault="00A5378C" w:rsidP="002602D6">
      <w:pPr>
        <w:jc w:val="both"/>
        <w:rPr>
          <w:b/>
          <w:u w:val="single"/>
        </w:rPr>
      </w:pPr>
    </w:p>
    <w:p w:rsidR="00642D9D" w:rsidRDefault="00642D9D" w:rsidP="002602D6">
      <w:pPr>
        <w:jc w:val="both"/>
        <w:rPr>
          <w:b/>
          <w:u w:val="single"/>
        </w:rPr>
      </w:pPr>
    </w:p>
    <w:p w:rsidR="00642D9D" w:rsidRDefault="00642D9D" w:rsidP="002602D6">
      <w:pPr>
        <w:jc w:val="both"/>
        <w:rPr>
          <w:b/>
          <w:u w:val="single"/>
        </w:rPr>
      </w:pPr>
    </w:p>
    <w:p w:rsidR="00642D9D" w:rsidRDefault="00642D9D" w:rsidP="002602D6">
      <w:pPr>
        <w:jc w:val="both"/>
        <w:rPr>
          <w:b/>
          <w:u w:val="single"/>
        </w:rPr>
      </w:pPr>
    </w:p>
    <w:p w:rsidR="00642D9D" w:rsidRDefault="00642D9D" w:rsidP="002602D6">
      <w:pPr>
        <w:jc w:val="both"/>
        <w:rPr>
          <w:b/>
          <w:u w:val="single"/>
        </w:rPr>
      </w:pPr>
    </w:p>
    <w:p w:rsidR="00642D9D" w:rsidRDefault="00642D9D" w:rsidP="002602D6">
      <w:pPr>
        <w:jc w:val="both"/>
        <w:rPr>
          <w:b/>
          <w:u w:val="single"/>
        </w:rPr>
      </w:pPr>
    </w:p>
    <w:p w:rsidR="00D0452C" w:rsidRDefault="00D0452C" w:rsidP="002602D6">
      <w:pPr>
        <w:jc w:val="both"/>
        <w:rPr>
          <w:b/>
          <w:u w:val="single"/>
        </w:rPr>
      </w:pPr>
    </w:p>
    <w:p w:rsidR="00D0452C" w:rsidRDefault="00D0452C" w:rsidP="002602D6">
      <w:pPr>
        <w:jc w:val="both"/>
        <w:rPr>
          <w:b/>
          <w:u w:val="single"/>
        </w:rPr>
      </w:pPr>
    </w:p>
    <w:p w:rsidR="002602D6" w:rsidRPr="00D0452C" w:rsidRDefault="00A5378C" w:rsidP="002602D6">
      <w:pPr>
        <w:jc w:val="both"/>
        <w:rPr>
          <w:b/>
          <w:sz w:val="26"/>
          <w:szCs w:val="26"/>
          <w:u w:val="single"/>
        </w:rPr>
      </w:pPr>
      <w:r w:rsidRPr="00D0452C">
        <w:rPr>
          <w:b/>
          <w:sz w:val="26"/>
          <w:szCs w:val="26"/>
          <w:u w:val="single"/>
        </w:rPr>
        <w:lastRenderedPageBreak/>
        <w:t xml:space="preserve">M11 </w:t>
      </w:r>
      <w:r w:rsidR="00642D9D" w:rsidRPr="00D0452C">
        <w:rPr>
          <w:b/>
          <w:sz w:val="26"/>
          <w:szCs w:val="26"/>
          <w:u w:val="single"/>
        </w:rPr>
        <w:t xml:space="preserve"> Platba na ekologické poľnohospodárstvo (EP)</w:t>
      </w:r>
    </w:p>
    <w:p w:rsidR="00642D9D" w:rsidRPr="00642D9D" w:rsidRDefault="00642D9D" w:rsidP="00642D9D">
      <w:pPr>
        <w:jc w:val="both"/>
      </w:pPr>
      <w:r w:rsidRPr="00642D9D">
        <w:t>Podpora na ekologické poľnohospodárstvo zahŕňa</w:t>
      </w:r>
    </w:p>
    <w:p w:rsidR="00642D9D" w:rsidRPr="00642D9D" w:rsidRDefault="00642D9D" w:rsidP="00642D9D">
      <w:pPr>
        <w:jc w:val="both"/>
      </w:pPr>
      <w:r w:rsidRPr="00642D9D">
        <w:t>a) platby na prechod na postupy a metódy ekologického poľnohospodárstva (ďalej len „konverzia“),</w:t>
      </w:r>
    </w:p>
    <w:p w:rsidR="00642D9D" w:rsidRDefault="00642D9D" w:rsidP="00642D9D">
      <w:pPr>
        <w:jc w:val="both"/>
      </w:pPr>
      <w:r w:rsidRPr="00642D9D">
        <w:t xml:space="preserve">b) platby na udržanie ekologického poľnohospodárstva </w:t>
      </w:r>
    </w:p>
    <w:p w:rsidR="00BD36E3" w:rsidRPr="00642D9D" w:rsidRDefault="00BD36E3" w:rsidP="00642D9D">
      <w:pPr>
        <w:jc w:val="both"/>
        <w:rPr>
          <w:b/>
        </w:rPr>
      </w:pPr>
      <w:r w:rsidRPr="00642D9D">
        <w:rPr>
          <w:b/>
        </w:rPr>
        <w:t>Nové záväzky na roky 2021- 2022</w:t>
      </w:r>
    </w:p>
    <w:p w:rsidR="00BD36E3" w:rsidRPr="00BD36E3" w:rsidRDefault="00BD36E3" w:rsidP="00BD36E3">
      <w:pPr>
        <w:jc w:val="both"/>
      </w:pPr>
      <w:r w:rsidRPr="00BD36E3">
        <w:t xml:space="preserve">PPA vyhlási výzvu pre </w:t>
      </w:r>
      <w:r>
        <w:t>obe podopatreniaEP</w:t>
      </w:r>
      <w:r w:rsidRPr="00BD36E3">
        <w:t xml:space="preserve"> na nové dvojročné záväzky pre roky 2021 a 2022.</w:t>
      </w:r>
    </w:p>
    <w:p w:rsidR="00BD36E3" w:rsidRDefault="00BD36E3" w:rsidP="00BD36E3">
      <w:pPr>
        <w:jc w:val="both"/>
      </w:pPr>
      <w:r w:rsidRPr="00BD36E3">
        <w:t xml:space="preserve">Žiadosť  o poskytnutie podpory v  prechodnom období od 1. januára 2021 do 31. decembra 2022 môže podať  ktorýkoľvek oprávnený žiadateľ </w:t>
      </w:r>
      <w:r w:rsidR="00886678">
        <w:t>so zaregistrovanými plochami</w:t>
      </w:r>
      <w:r w:rsidRPr="00BD36E3">
        <w:t xml:space="preserve">, ktorý sa zaviaže plniť podmienky poskytnutia podpory  počas prechodného obdobia podľa nariadenia vlády č. 75/2015  </w:t>
      </w:r>
      <w:r w:rsidR="008E22D5">
        <w:t>s nasledovnými úpravami:</w:t>
      </w:r>
    </w:p>
    <w:p w:rsidR="009B11B0" w:rsidRPr="009B11B0" w:rsidRDefault="009B11B0" w:rsidP="00BD36E3">
      <w:pPr>
        <w:jc w:val="both"/>
        <w:rPr>
          <w:b/>
        </w:rPr>
      </w:pPr>
      <w:r w:rsidRPr="009B11B0">
        <w:rPr>
          <w:b/>
        </w:rPr>
        <w:t>Registrácia</w:t>
      </w:r>
      <w:r>
        <w:rPr>
          <w:b/>
        </w:rPr>
        <w:t xml:space="preserve"> a inšpekcia</w:t>
      </w:r>
    </w:p>
    <w:p w:rsidR="009B11B0" w:rsidRDefault="009B11B0" w:rsidP="00BD36E3">
      <w:pPr>
        <w:jc w:val="both"/>
      </w:pPr>
      <w:r>
        <w:t>Plochy, s ktorými vstupuje žiadateľ do záväzku, musia byť z</w:t>
      </w:r>
      <w:r w:rsidR="008E22D5" w:rsidRPr="008E22D5">
        <w:t>aregistrovan</w:t>
      </w:r>
      <w:r w:rsidR="00F95A11">
        <w:t>é</w:t>
      </w:r>
      <w:r w:rsidR="008E22D5" w:rsidRPr="008E22D5">
        <w:t xml:space="preserve"> v registri ekologickej poľnohospodárskej výroby vedenom ÚKSÚP  najneskôr jeden deň pred podaním žiadosti o platbu. </w:t>
      </w:r>
    </w:p>
    <w:p w:rsidR="009B11B0" w:rsidRDefault="009B11B0" w:rsidP="00BD36E3">
      <w:pPr>
        <w:jc w:val="both"/>
        <w:rPr>
          <w:b/>
        </w:rPr>
      </w:pPr>
      <w:r w:rsidRPr="00944C1D">
        <w:t>Počas celého trvania záväzku musí mať žiadateľ o poskytnutie podpory uzatvorenú zmluvu s inšpekčnou organizáciou, pričom v prvom roku prechodného obdobia musí mať žiadateľ uzatvorenú zmluvu s inšpekčnou organizáciou najneskôr jeden deň pred podaním žiadosti o platbu.</w:t>
      </w:r>
    </w:p>
    <w:p w:rsidR="009B11B0" w:rsidRPr="009B11B0" w:rsidRDefault="009B11B0" w:rsidP="00BD36E3">
      <w:pPr>
        <w:jc w:val="both"/>
        <w:rPr>
          <w:b/>
        </w:rPr>
      </w:pPr>
      <w:r w:rsidRPr="009B11B0">
        <w:rPr>
          <w:b/>
        </w:rPr>
        <w:t>Zmena  podmienok:</w:t>
      </w:r>
    </w:p>
    <w:p w:rsidR="00A5378C" w:rsidRDefault="009B11B0" w:rsidP="00BD36E3">
      <w:pPr>
        <w:jc w:val="both"/>
      </w:pPr>
      <w:r>
        <w:t>B</w:t>
      </w:r>
      <w:r w:rsidR="00944C1D" w:rsidRPr="00944C1D">
        <w:t xml:space="preserve">ola </w:t>
      </w:r>
      <w:r w:rsidR="00D0452C">
        <w:t>zrušená</w:t>
      </w:r>
      <w:r w:rsidR="00944C1D" w:rsidRPr="00944C1D">
        <w:t xml:space="preserve"> podmienka mať v systéme ekologickej poľnohospodárskej výroby registrovaných najmenej 51 % výmery poľnohospodárskej pôdy, ak žiadateľ o poskytnutie podpory na ekologické poľnohospodárstvo zároveň hospodáril aj neekologickým spôsobom.</w:t>
      </w:r>
    </w:p>
    <w:p w:rsidR="00944C1D" w:rsidRDefault="00944C1D" w:rsidP="00BD36E3">
      <w:pPr>
        <w:jc w:val="both"/>
      </w:pPr>
      <w:r>
        <w:t>Vo väzbe na predchádzajúcu zmenu sa upravujú výberové kritéria.</w:t>
      </w:r>
    </w:p>
    <w:p w:rsidR="00944C1D" w:rsidRDefault="00944C1D" w:rsidP="00BD36E3">
      <w:pPr>
        <w:jc w:val="both"/>
      </w:pPr>
      <w:r w:rsidRPr="00944C1D">
        <w:t>Bola zrušená podmienka, na základe ktorej žiadateľovi, ktorý požiadal   o vyradenie z registra ekologickej poľnohospodárskej výroby, nebolo možné  poskytnúť podporu t.j. platbu na ekologické poľnohospodárstvo), počas piatich rokov od jeho vyradenia z registra ekologickej poľnohospodárskej výroby.</w:t>
      </w:r>
    </w:p>
    <w:p w:rsidR="009B11B0" w:rsidRPr="009B11B0" w:rsidRDefault="009B11B0" w:rsidP="009B11B0">
      <w:pPr>
        <w:jc w:val="both"/>
        <w:rPr>
          <w:b/>
        </w:rPr>
      </w:pPr>
      <w:r w:rsidRPr="009B11B0">
        <w:rPr>
          <w:b/>
        </w:rPr>
        <w:t xml:space="preserve">Predpokladané platby pre nové záväzky </w:t>
      </w:r>
      <w:r>
        <w:rPr>
          <w:b/>
        </w:rPr>
        <w:t xml:space="preserve">EP </w:t>
      </w:r>
      <w:r w:rsidRPr="009B11B0">
        <w:rPr>
          <w:b/>
        </w:rPr>
        <w:t>v prechodnom období</w:t>
      </w:r>
    </w:p>
    <w:p w:rsidR="00944C1D" w:rsidRPr="00A66FD0" w:rsidRDefault="00944C1D" w:rsidP="00944C1D">
      <w:pPr>
        <w:jc w:val="both"/>
        <w:rPr>
          <w:b/>
        </w:rPr>
      </w:pPr>
      <w:r w:rsidRPr="00A66FD0">
        <w:rPr>
          <w:rFonts w:cstheme="minorHAnsi"/>
          <w:bCs/>
          <w:iCs/>
          <w:lang w:eastAsia="sk-SK"/>
        </w:rPr>
        <w:t>Platby na konverziu a na udržanie na ekologické</w:t>
      </w:r>
      <w:r w:rsidR="00F95A11" w:rsidRPr="00A66FD0">
        <w:rPr>
          <w:rFonts w:cstheme="minorHAnsi"/>
          <w:bCs/>
          <w:iCs/>
          <w:lang w:eastAsia="sk-SK"/>
        </w:rPr>
        <w:t>ho</w:t>
      </w:r>
      <w:r w:rsidRPr="00A66FD0">
        <w:rPr>
          <w:rFonts w:cstheme="minorHAnsi"/>
          <w:bCs/>
          <w:iCs/>
          <w:lang w:eastAsia="sk-SK"/>
        </w:rPr>
        <w:t xml:space="preserve"> poľnohospodárstv</w:t>
      </w:r>
      <w:r w:rsidR="00F95A11" w:rsidRPr="00A66FD0">
        <w:rPr>
          <w:rFonts w:cstheme="minorHAnsi"/>
          <w:bCs/>
          <w:iCs/>
          <w:lang w:eastAsia="sk-SK"/>
        </w:rPr>
        <w:t>a</w:t>
      </w:r>
    </w:p>
    <w:p w:rsidR="00944C1D" w:rsidRDefault="00944C1D" w:rsidP="00D0452C">
      <w:pPr>
        <w:spacing w:after="0"/>
        <w:rPr>
          <w:rFonts w:ascii="Times New Roman" w:eastAsia="Times New Roman" w:hAnsi="Times New Roman"/>
          <w:szCs w:val="24"/>
        </w:rPr>
      </w:pPr>
      <w:r>
        <w:rPr>
          <w:szCs w:val="24"/>
        </w:rPr>
        <w:t>Orná pôda                                                                      160 €/ha</w:t>
      </w:r>
    </w:p>
    <w:p w:rsidR="00944C1D" w:rsidRDefault="00944C1D" w:rsidP="00D0452C">
      <w:pPr>
        <w:spacing w:after="0"/>
        <w:ind w:left="59" w:hanging="59"/>
        <w:rPr>
          <w:szCs w:val="24"/>
        </w:rPr>
      </w:pPr>
      <w:r>
        <w:rPr>
          <w:szCs w:val="24"/>
        </w:rPr>
        <w:t>Zelenina, jahody, lieč., korenin. a arom. rastliny    600 €/ha</w:t>
      </w:r>
    </w:p>
    <w:p w:rsidR="00944C1D" w:rsidRDefault="00944C1D" w:rsidP="00D0452C">
      <w:pPr>
        <w:spacing w:after="0"/>
        <w:rPr>
          <w:szCs w:val="24"/>
        </w:rPr>
      </w:pPr>
      <w:r>
        <w:rPr>
          <w:szCs w:val="24"/>
        </w:rPr>
        <w:t>Zemiaky                                                                          387 €/ha</w:t>
      </w:r>
    </w:p>
    <w:p w:rsidR="00944C1D" w:rsidRDefault="00944C1D" w:rsidP="00D0452C">
      <w:pPr>
        <w:spacing w:after="0"/>
        <w:rPr>
          <w:szCs w:val="24"/>
        </w:rPr>
      </w:pPr>
      <w:r>
        <w:rPr>
          <w:szCs w:val="24"/>
        </w:rPr>
        <w:t>Ovocné sady intenzívne  rodiace                               740 €/ha</w:t>
      </w:r>
    </w:p>
    <w:p w:rsidR="00944C1D" w:rsidRDefault="00944C1D" w:rsidP="00D0452C">
      <w:pPr>
        <w:spacing w:after="0"/>
        <w:ind w:left="59"/>
        <w:rPr>
          <w:szCs w:val="24"/>
        </w:rPr>
      </w:pPr>
      <w:r>
        <w:rPr>
          <w:szCs w:val="24"/>
        </w:rPr>
        <w:t>                                           mladé                                 478 €/ha</w:t>
      </w:r>
    </w:p>
    <w:p w:rsidR="00944C1D" w:rsidRDefault="00944C1D" w:rsidP="00D0452C">
      <w:pPr>
        <w:spacing w:after="0"/>
        <w:ind w:left="-83"/>
        <w:rPr>
          <w:szCs w:val="24"/>
        </w:rPr>
      </w:pPr>
      <w:r>
        <w:rPr>
          <w:szCs w:val="24"/>
        </w:rPr>
        <w:t xml:space="preserve"> Ovocné sady ostatné                                                   380 €/ha</w:t>
      </w:r>
    </w:p>
    <w:p w:rsidR="00944C1D" w:rsidRDefault="00944C1D" w:rsidP="00D0452C">
      <w:pPr>
        <w:spacing w:after="0"/>
        <w:ind w:hanging="83"/>
        <w:rPr>
          <w:szCs w:val="24"/>
        </w:rPr>
      </w:pPr>
      <w:r>
        <w:rPr>
          <w:szCs w:val="24"/>
        </w:rPr>
        <w:t xml:space="preserve"> Vinohrady  rodiace                                                       750  €/ha</w:t>
      </w:r>
    </w:p>
    <w:p w:rsidR="00944C1D" w:rsidRDefault="00944C1D" w:rsidP="00D0452C">
      <w:pPr>
        <w:spacing w:after="0"/>
        <w:rPr>
          <w:szCs w:val="24"/>
        </w:rPr>
      </w:pPr>
      <w:r>
        <w:rPr>
          <w:szCs w:val="24"/>
        </w:rPr>
        <w:t>Vinohrady mladé                                                          498 €/ha</w:t>
      </w:r>
    </w:p>
    <w:p w:rsidR="00944C1D" w:rsidRDefault="00944C1D" w:rsidP="00D0452C">
      <w:pPr>
        <w:spacing w:after="0"/>
        <w:ind w:left="59"/>
        <w:rPr>
          <w:szCs w:val="24"/>
        </w:rPr>
      </w:pPr>
      <w:r>
        <w:rPr>
          <w:szCs w:val="24"/>
        </w:rPr>
        <w:t>TTP                                                                                 103 €/ha</w:t>
      </w:r>
    </w:p>
    <w:p w:rsidR="00D0452C" w:rsidRDefault="00D0452C" w:rsidP="00210397">
      <w:pPr>
        <w:spacing w:after="0" w:line="276" w:lineRule="auto"/>
        <w:rPr>
          <w:rFonts w:cstheme="minorHAnsi"/>
          <w:b/>
        </w:rPr>
      </w:pPr>
    </w:p>
    <w:p w:rsidR="00D0452C" w:rsidRDefault="00D0452C" w:rsidP="00210397">
      <w:pPr>
        <w:spacing w:after="0" w:line="276" w:lineRule="auto"/>
        <w:rPr>
          <w:rFonts w:cstheme="minorHAnsi"/>
          <w:b/>
        </w:rPr>
      </w:pPr>
    </w:p>
    <w:p w:rsidR="00D0452C" w:rsidRDefault="00D0452C" w:rsidP="00210397">
      <w:pPr>
        <w:spacing w:after="0" w:line="276" w:lineRule="auto"/>
        <w:rPr>
          <w:rFonts w:cstheme="minorHAnsi"/>
          <w:b/>
        </w:rPr>
      </w:pPr>
    </w:p>
    <w:p w:rsidR="00210397" w:rsidRDefault="00210397" w:rsidP="00210397">
      <w:pPr>
        <w:spacing w:after="0" w:line="276" w:lineRule="auto"/>
        <w:rPr>
          <w:rFonts w:cstheme="minorHAnsi"/>
        </w:rPr>
      </w:pPr>
      <w:r w:rsidRPr="00DB543F">
        <w:rPr>
          <w:rFonts w:cstheme="minorHAnsi"/>
          <w:b/>
        </w:rPr>
        <w:lastRenderedPageBreak/>
        <w:t>Kombinačné platby</w:t>
      </w:r>
      <w:r>
        <w:rPr>
          <w:rFonts w:cstheme="minorHAnsi"/>
        </w:rPr>
        <w:t>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6"/>
        <w:gridCol w:w="1224"/>
        <w:gridCol w:w="1985"/>
        <w:gridCol w:w="1701"/>
      </w:tblGrid>
      <w:tr w:rsidR="00210397" w:rsidRPr="00C261DB" w:rsidTr="00322132">
        <w:trPr>
          <w:trHeight w:val="1103"/>
        </w:trPr>
        <w:tc>
          <w:tcPr>
            <w:tcW w:w="4446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Ochrana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biotopov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poloprírodných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prírodných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TTP +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Ekologické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poľnohospodárstvo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 (TTP)</w:t>
            </w:r>
          </w:p>
        </w:tc>
        <w:tc>
          <w:tcPr>
            <w:tcW w:w="1224" w:type="dxa"/>
          </w:tcPr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Platba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biotop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TTP</w:t>
            </w:r>
          </w:p>
        </w:tc>
        <w:tc>
          <w:tcPr>
            <w:tcW w:w="1985" w:type="dxa"/>
          </w:tcPr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Platba</w:t>
            </w:r>
            <w:proofErr w:type="spellEnd"/>
          </w:p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Ekologické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poľnohospodárstvo</w:t>
            </w:r>
            <w:proofErr w:type="spellEnd"/>
          </w:p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81EBB">
              <w:rPr>
                <w:rFonts w:cstheme="minorHAnsi"/>
                <w:sz w:val="20"/>
                <w:szCs w:val="20"/>
                <w:lang w:val="en-US"/>
              </w:rPr>
              <w:t>(TTP)</w:t>
            </w:r>
          </w:p>
        </w:tc>
        <w:tc>
          <w:tcPr>
            <w:tcW w:w="1701" w:type="dxa"/>
          </w:tcPr>
          <w:p w:rsidR="00210397" w:rsidRPr="00D617A0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D617A0">
              <w:rPr>
                <w:rFonts w:cstheme="minorHAnsi"/>
                <w:b/>
                <w:sz w:val="20"/>
                <w:szCs w:val="20"/>
                <w:lang w:val="en-US"/>
              </w:rPr>
              <w:t>Prieniková</w:t>
            </w:r>
            <w:proofErr w:type="spellEnd"/>
            <w:r w:rsidRPr="00D617A0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17A0">
              <w:rPr>
                <w:rFonts w:cstheme="minorHAnsi"/>
                <w:b/>
                <w:sz w:val="20"/>
                <w:szCs w:val="20"/>
                <w:lang w:val="en-US"/>
              </w:rPr>
              <w:t>platba</w:t>
            </w:r>
            <w:proofErr w:type="spellEnd"/>
            <w:r w:rsidRPr="00D617A0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17A0">
              <w:rPr>
                <w:rFonts w:cstheme="minorHAnsi"/>
                <w:b/>
                <w:sz w:val="20"/>
                <w:szCs w:val="20"/>
                <w:lang w:val="en-US"/>
              </w:rPr>
              <w:t>spolu</w:t>
            </w:r>
            <w:proofErr w:type="spellEnd"/>
          </w:p>
        </w:tc>
      </w:tr>
      <w:tr w:rsidR="00210397" w:rsidRPr="00C261DB" w:rsidTr="00322132">
        <w:trPr>
          <w:trHeight w:val="1306"/>
        </w:trPr>
        <w:tc>
          <w:tcPr>
            <w:tcW w:w="4446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Pri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kombinácii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ochrany</w:t>
            </w:r>
            <w:proofErr w:type="spellEnd"/>
            <w:r w:rsidRPr="00D617A0">
              <w:rPr>
                <w:rFonts w:cstheme="minorHAnsi"/>
                <w:sz w:val="20"/>
                <w:szCs w:val="20"/>
              </w:rPr>
              <w:t xml:space="preserve"> biotopov</w:t>
            </w:r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poloprírodných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a</w:t>
            </w:r>
            <w:r w:rsidRPr="00D617A0">
              <w:rPr>
                <w:rFonts w:cstheme="minorHAnsi"/>
                <w:sz w:val="20"/>
                <w:szCs w:val="20"/>
              </w:rPr>
              <w:t xml:space="preserve"> prírodných</w:t>
            </w:r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TTP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typov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mezofilné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trvalé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trávne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porasty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vlhkomilné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porasty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nižších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plôch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nížinné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aluviálne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lúky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ekologickým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poľnohospodárstvom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pre TTP</w:t>
            </w:r>
          </w:p>
        </w:tc>
        <w:tc>
          <w:tcPr>
            <w:tcW w:w="1224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261DB">
              <w:rPr>
                <w:rFonts w:cstheme="minorHAnsi"/>
                <w:sz w:val="20"/>
                <w:szCs w:val="20"/>
                <w:lang w:val="en-US"/>
              </w:rPr>
              <w:t>87,33 €/ha</w:t>
            </w:r>
          </w:p>
        </w:tc>
        <w:tc>
          <w:tcPr>
            <w:tcW w:w="1985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261DB">
              <w:rPr>
                <w:rFonts w:cstheme="minorHAnsi"/>
                <w:sz w:val="20"/>
                <w:szCs w:val="20"/>
                <w:lang w:val="en-US"/>
              </w:rPr>
              <w:t>75,57 €/ha</w:t>
            </w:r>
          </w:p>
        </w:tc>
        <w:tc>
          <w:tcPr>
            <w:tcW w:w="1701" w:type="dxa"/>
          </w:tcPr>
          <w:p w:rsidR="00210397" w:rsidRPr="00D617A0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D617A0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617A0">
              <w:rPr>
                <w:rFonts w:cstheme="minorHAnsi"/>
                <w:b/>
                <w:sz w:val="20"/>
                <w:szCs w:val="20"/>
                <w:lang w:val="en-US"/>
              </w:rPr>
              <w:t>162,90 €/ha</w:t>
            </w:r>
          </w:p>
        </w:tc>
      </w:tr>
      <w:tr w:rsidR="00210397" w:rsidRPr="00C261DB" w:rsidTr="00322132">
        <w:trPr>
          <w:trHeight w:val="1724"/>
        </w:trPr>
        <w:tc>
          <w:tcPr>
            <w:tcW w:w="4446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Pri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kombinácii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ochrany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biotopov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poloprírodných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prírodných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TTP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typov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teplo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suchomilné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trvalé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trávne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porasty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horské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kosné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lúky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vlhkomilné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porasty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vyšších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polôh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slatinné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bezkolencové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lúky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vysokohorské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trávne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porasty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ekologickým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poľnohospodárstvom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pre TTP</w:t>
            </w:r>
          </w:p>
        </w:tc>
        <w:tc>
          <w:tcPr>
            <w:tcW w:w="1224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261DB">
              <w:rPr>
                <w:rFonts w:cstheme="minorHAnsi"/>
                <w:sz w:val="20"/>
                <w:szCs w:val="20"/>
                <w:lang w:val="en-US"/>
              </w:rPr>
              <w:t>174,00 €/ha</w:t>
            </w:r>
          </w:p>
        </w:tc>
        <w:tc>
          <w:tcPr>
            <w:tcW w:w="1985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261DB">
              <w:rPr>
                <w:rFonts w:cstheme="minorHAnsi"/>
                <w:sz w:val="20"/>
                <w:szCs w:val="20"/>
                <w:lang w:val="en-US"/>
              </w:rPr>
              <w:t>77,00 €/ha</w:t>
            </w:r>
          </w:p>
        </w:tc>
        <w:tc>
          <w:tcPr>
            <w:tcW w:w="1701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D617A0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617A0">
              <w:rPr>
                <w:rFonts w:cstheme="minorHAnsi"/>
                <w:b/>
                <w:sz w:val="20"/>
                <w:szCs w:val="20"/>
                <w:lang w:val="en-US"/>
              </w:rPr>
              <w:t>253,70 €/ha</w:t>
            </w:r>
          </w:p>
        </w:tc>
      </w:tr>
    </w:tbl>
    <w:p w:rsidR="00210397" w:rsidRPr="00C261DB" w:rsidRDefault="00210397" w:rsidP="00210397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1417"/>
        <w:gridCol w:w="1843"/>
        <w:gridCol w:w="1701"/>
      </w:tblGrid>
      <w:tr w:rsidR="00210397" w:rsidRPr="00C261DB" w:rsidTr="00322132">
        <w:trPr>
          <w:trHeight w:val="844"/>
        </w:trPr>
        <w:tc>
          <w:tcPr>
            <w:tcW w:w="4395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Ochrana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biotopu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sysľa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pasienkového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Ekologické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poľnohospodárstvo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 (TTP)</w:t>
            </w:r>
          </w:p>
        </w:tc>
        <w:tc>
          <w:tcPr>
            <w:tcW w:w="1417" w:type="dxa"/>
          </w:tcPr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Platba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biotop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sysľa</w:t>
            </w:r>
            <w:proofErr w:type="spellEnd"/>
          </w:p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pasienkového</w:t>
            </w:r>
            <w:proofErr w:type="spellEnd"/>
          </w:p>
        </w:tc>
        <w:tc>
          <w:tcPr>
            <w:tcW w:w="1843" w:type="dxa"/>
          </w:tcPr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Platba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Ekologické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poľnohospodárstvo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(TTP)</w:t>
            </w:r>
          </w:p>
        </w:tc>
        <w:tc>
          <w:tcPr>
            <w:tcW w:w="1701" w:type="dxa"/>
          </w:tcPr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81EBB">
              <w:rPr>
                <w:rFonts w:cstheme="minorHAnsi"/>
                <w:b/>
                <w:sz w:val="20"/>
                <w:szCs w:val="20"/>
                <w:lang w:val="en-US"/>
              </w:rPr>
              <w:t>Prieniková</w:t>
            </w:r>
            <w:proofErr w:type="spellEnd"/>
            <w:r w:rsidRPr="00081EB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b/>
                <w:sz w:val="20"/>
                <w:szCs w:val="20"/>
                <w:lang w:val="en-US"/>
              </w:rPr>
              <w:t>platba</w:t>
            </w:r>
            <w:proofErr w:type="spellEnd"/>
            <w:r w:rsidRPr="00081EB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b/>
                <w:sz w:val="20"/>
                <w:szCs w:val="20"/>
                <w:lang w:val="en-US"/>
              </w:rPr>
              <w:t>spolu</w:t>
            </w:r>
            <w:proofErr w:type="spellEnd"/>
          </w:p>
        </w:tc>
      </w:tr>
      <w:tr w:rsidR="00210397" w:rsidRPr="00C261DB" w:rsidTr="00322132">
        <w:trPr>
          <w:trHeight w:val="877"/>
        </w:trPr>
        <w:tc>
          <w:tcPr>
            <w:tcW w:w="4395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Pri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kombinácii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ochrany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biotopu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sysľa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pasienkového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ekologickým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poľnohospodárstvom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(TTP)</w:t>
            </w:r>
          </w:p>
        </w:tc>
        <w:tc>
          <w:tcPr>
            <w:tcW w:w="1417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261DB">
              <w:rPr>
                <w:rFonts w:cstheme="minorHAnsi"/>
                <w:sz w:val="20"/>
                <w:szCs w:val="20"/>
                <w:lang w:val="en-US"/>
              </w:rPr>
              <w:t>70,00 €/ha</w:t>
            </w:r>
          </w:p>
        </w:tc>
        <w:tc>
          <w:tcPr>
            <w:tcW w:w="1843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261DB">
              <w:rPr>
                <w:rFonts w:cstheme="minorHAnsi"/>
                <w:sz w:val="20"/>
                <w:szCs w:val="20"/>
                <w:lang w:val="en-US"/>
              </w:rPr>
              <w:t>75,57 €/ha</w:t>
            </w:r>
          </w:p>
        </w:tc>
        <w:tc>
          <w:tcPr>
            <w:tcW w:w="1701" w:type="dxa"/>
          </w:tcPr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81EBB">
              <w:rPr>
                <w:rFonts w:cstheme="minorHAnsi"/>
                <w:b/>
                <w:sz w:val="20"/>
                <w:szCs w:val="20"/>
                <w:lang w:val="en-US"/>
              </w:rPr>
              <w:t>145,57 €/ha</w:t>
            </w:r>
          </w:p>
        </w:tc>
      </w:tr>
    </w:tbl>
    <w:p w:rsidR="00210397" w:rsidRPr="00C261DB" w:rsidRDefault="00210397" w:rsidP="00210397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1417"/>
        <w:gridCol w:w="1843"/>
        <w:gridCol w:w="1701"/>
      </w:tblGrid>
      <w:tr w:rsidR="00210397" w:rsidRPr="00C261DB" w:rsidTr="00322132">
        <w:trPr>
          <w:trHeight w:val="802"/>
        </w:trPr>
        <w:tc>
          <w:tcPr>
            <w:tcW w:w="4395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Ochrana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dropa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fúzatého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Ekologické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poľnohospodárstvo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orná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pôda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</w:tcPr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Platba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dropa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fúzatého</w:t>
            </w:r>
            <w:proofErr w:type="spellEnd"/>
          </w:p>
        </w:tc>
        <w:tc>
          <w:tcPr>
            <w:tcW w:w="1843" w:type="dxa"/>
          </w:tcPr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Platba</w:t>
            </w:r>
            <w:proofErr w:type="spellEnd"/>
          </w:p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Ekologické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EBB">
              <w:rPr>
                <w:rFonts w:cstheme="minorHAnsi"/>
                <w:sz w:val="20"/>
                <w:szCs w:val="20"/>
                <w:lang w:val="en-US"/>
              </w:rPr>
              <w:t>poľnohospodárstvo</w:t>
            </w:r>
            <w:proofErr w:type="spellEnd"/>
            <w:r w:rsidRPr="00081EBB">
              <w:rPr>
                <w:rFonts w:cstheme="minorHAnsi"/>
                <w:sz w:val="20"/>
                <w:szCs w:val="20"/>
                <w:lang w:val="en-US"/>
              </w:rPr>
              <w:t xml:space="preserve"> OP</w:t>
            </w:r>
          </w:p>
        </w:tc>
        <w:tc>
          <w:tcPr>
            <w:tcW w:w="1701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Prieniková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platba</w:t>
            </w:r>
            <w:proofErr w:type="spellEnd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b/>
                <w:sz w:val="20"/>
                <w:szCs w:val="20"/>
                <w:lang w:val="en-US"/>
              </w:rPr>
              <w:t>spolu</w:t>
            </w:r>
            <w:proofErr w:type="spellEnd"/>
          </w:p>
        </w:tc>
      </w:tr>
      <w:tr w:rsidR="00210397" w:rsidRPr="00C261DB" w:rsidTr="00322132">
        <w:trPr>
          <w:trHeight w:val="542"/>
        </w:trPr>
        <w:tc>
          <w:tcPr>
            <w:tcW w:w="4395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Pri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kombinácii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ochrany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dropa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fúzatého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s</w:t>
            </w:r>
          </w:p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ekologickým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poľnohospodárstvom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1DB">
              <w:rPr>
                <w:rFonts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C261DB">
              <w:rPr>
                <w:rFonts w:cstheme="minorHAnsi"/>
                <w:sz w:val="20"/>
                <w:szCs w:val="20"/>
                <w:lang w:val="en-US"/>
              </w:rPr>
              <w:t xml:space="preserve"> OP</w:t>
            </w:r>
          </w:p>
        </w:tc>
        <w:tc>
          <w:tcPr>
            <w:tcW w:w="1417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261DB">
              <w:rPr>
                <w:rFonts w:cstheme="minorHAnsi"/>
                <w:sz w:val="20"/>
                <w:szCs w:val="20"/>
                <w:lang w:val="en-US"/>
              </w:rPr>
              <w:t>86,00 €/ha</w:t>
            </w:r>
          </w:p>
        </w:tc>
        <w:tc>
          <w:tcPr>
            <w:tcW w:w="1843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261DB">
              <w:rPr>
                <w:rFonts w:cstheme="minorHAnsi"/>
                <w:sz w:val="20"/>
                <w:szCs w:val="20"/>
                <w:lang w:val="en-US"/>
              </w:rPr>
              <w:t>73,90 €/ha</w:t>
            </w:r>
          </w:p>
        </w:tc>
        <w:tc>
          <w:tcPr>
            <w:tcW w:w="1701" w:type="dxa"/>
          </w:tcPr>
          <w:p w:rsidR="00210397" w:rsidRPr="00C261D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210397" w:rsidRPr="00081EBB" w:rsidRDefault="00210397" w:rsidP="00322132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81EBB">
              <w:rPr>
                <w:rFonts w:cstheme="minorHAnsi"/>
                <w:b/>
                <w:sz w:val="20"/>
                <w:szCs w:val="20"/>
                <w:lang w:val="en-US"/>
              </w:rPr>
              <w:t>159,90 €/ha</w:t>
            </w:r>
          </w:p>
        </w:tc>
      </w:tr>
    </w:tbl>
    <w:p w:rsidR="005A50A1" w:rsidRDefault="005A50A1" w:rsidP="002602D6">
      <w:pPr>
        <w:jc w:val="both"/>
        <w:rPr>
          <w:b/>
          <w:u w:val="single"/>
        </w:rPr>
      </w:pPr>
    </w:p>
    <w:p w:rsidR="00D0452C" w:rsidRDefault="00D0452C" w:rsidP="002602D6">
      <w:pPr>
        <w:jc w:val="both"/>
        <w:rPr>
          <w:b/>
          <w:u w:val="single"/>
        </w:rPr>
      </w:pPr>
    </w:p>
    <w:p w:rsidR="00D0452C" w:rsidRDefault="00D0452C" w:rsidP="002602D6">
      <w:pPr>
        <w:jc w:val="both"/>
        <w:rPr>
          <w:b/>
          <w:u w:val="single"/>
        </w:rPr>
      </w:pPr>
    </w:p>
    <w:p w:rsidR="005A50A1" w:rsidRPr="00274B22" w:rsidRDefault="00F95A11" w:rsidP="002602D6">
      <w:pPr>
        <w:jc w:val="both"/>
        <w:rPr>
          <w:b/>
          <w:sz w:val="26"/>
          <w:szCs w:val="26"/>
          <w:u w:val="single"/>
        </w:rPr>
      </w:pPr>
      <w:r w:rsidRPr="00274B22">
        <w:rPr>
          <w:b/>
          <w:sz w:val="26"/>
          <w:szCs w:val="26"/>
          <w:u w:val="single"/>
        </w:rPr>
        <w:t xml:space="preserve">M12 </w:t>
      </w:r>
      <w:r w:rsidR="00886678" w:rsidRPr="00274B22">
        <w:rPr>
          <w:b/>
          <w:sz w:val="26"/>
          <w:szCs w:val="26"/>
          <w:u w:val="single"/>
        </w:rPr>
        <w:t>Platba v rámci sústavy Natura 2000 na poľnohospodársky pozemok</w:t>
      </w:r>
    </w:p>
    <w:p w:rsidR="00886678" w:rsidRPr="00274B22" w:rsidRDefault="00886678" w:rsidP="002602D6">
      <w:pPr>
        <w:jc w:val="both"/>
        <w:rPr>
          <w:b/>
          <w:sz w:val="26"/>
          <w:szCs w:val="26"/>
          <w:u w:val="single"/>
        </w:rPr>
      </w:pPr>
      <w:r w:rsidRPr="00274B22">
        <w:rPr>
          <w:b/>
          <w:sz w:val="26"/>
          <w:szCs w:val="26"/>
          <w:u w:val="single"/>
        </w:rPr>
        <w:t>M12  Platba v rámci sústavy Natura 2000 na lesný pozemok</w:t>
      </w:r>
    </w:p>
    <w:p w:rsidR="00D0452C" w:rsidRDefault="00D0452C" w:rsidP="002602D6">
      <w:pPr>
        <w:jc w:val="both"/>
      </w:pPr>
      <w:r w:rsidRPr="00D0452C">
        <w:t>PPA vyhlási výzvu pre obe opatrenia</w:t>
      </w:r>
      <w:r w:rsidR="00274B22">
        <w:t xml:space="preserve"> v roku 2021 a v roku 2022.</w:t>
      </w:r>
    </w:p>
    <w:p w:rsidR="00886678" w:rsidRPr="00886678" w:rsidRDefault="00886678" w:rsidP="002602D6">
      <w:pPr>
        <w:jc w:val="both"/>
      </w:pPr>
      <w:r>
        <w:t>Podmienky, pravidlá a výšky platieb týchto opatrení sú bez zmien.</w:t>
      </w:r>
    </w:p>
    <w:p w:rsidR="005A50A1" w:rsidRDefault="005A50A1" w:rsidP="002602D6">
      <w:pPr>
        <w:jc w:val="both"/>
        <w:rPr>
          <w:b/>
          <w:u w:val="single"/>
        </w:rPr>
      </w:pPr>
    </w:p>
    <w:p w:rsidR="00886678" w:rsidRDefault="00886678" w:rsidP="002602D6">
      <w:pPr>
        <w:jc w:val="both"/>
        <w:rPr>
          <w:b/>
          <w:u w:val="single"/>
        </w:rPr>
      </w:pPr>
    </w:p>
    <w:p w:rsidR="00886678" w:rsidRDefault="00886678" w:rsidP="002602D6">
      <w:pPr>
        <w:jc w:val="both"/>
        <w:rPr>
          <w:b/>
          <w:u w:val="single"/>
        </w:rPr>
      </w:pPr>
    </w:p>
    <w:p w:rsidR="00886678" w:rsidRDefault="00886678" w:rsidP="002602D6">
      <w:pPr>
        <w:jc w:val="both"/>
        <w:rPr>
          <w:b/>
          <w:u w:val="single"/>
        </w:rPr>
      </w:pPr>
    </w:p>
    <w:p w:rsidR="005A50A1" w:rsidRDefault="00886678" w:rsidP="002602D6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M13 </w:t>
      </w:r>
      <w:r w:rsidRPr="00886678">
        <w:rPr>
          <w:b/>
          <w:u w:val="single"/>
        </w:rPr>
        <w:t>Platba pre oblasti s prírodnými obmedzeniami alebo inými osobitnými obmedzeniami</w:t>
      </w:r>
      <w:r>
        <w:rPr>
          <w:b/>
          <w:u w:val="single"/>
        </w:rPr>
        <w:t xml:space="preserve"> (ANC)</w:t>
      </w:r>
    </w:p>
    <w:p w:rsidR="00274B22" w:rsidRPr="00274B22" w:rsidRDefault="00274B22" w:rsidP="002602D6">
      <w:pPr>
        <w:jc w:val="both"/>
      </w:pPr>
      <w:r w:rsidRPr="00274B22">
        <w:t xml:space="preserve">PPA vyhlási výzvu pre </w:t>
      </w:r>
      <w:r>
        <w:t>ANC</w:t>
      </w:r>
      <w:r w:rsidRPr="00274B22">
        <w:t xml:space="preserve"> v roku 2021 a v roku 2022.</w:t>
      </w:r>
    </w:p>
    <w:p w:rsidR="00886678" w:rsidRDefault="005F04DF" w:rsidP="00886678">
      <w:pPr>
        <w:jc w:val="both"/>
      </w:pPr>
      <w:r>
        <w:t>Určenie oblastí, p</w:t>
      </w:r>
      <w:r w:rsidR="00886678">
        <w:t>odmienky</w:t>
      </w:r>
      <w:r>
        <w:t xml:space="preserve"> a</w:t>
      </w:r>
      <w:r w:rsidR="00886678">
        <w:t xml:space="preserve"> pravidlá opatrenia </w:t>
      </w:r>
      <w:r w:rsidR="004F5708">
        <w:t>(hlavne zaťaženie 0,3 DJ polyga</w:t>
      </w:r>
      <w:r w:rsidR="00F15C6A">
        <w:t>s</w:t>
      </w:r>
      <w:r w:rsidR="004F5708">
        <w:t xml:space="preserve">trov a koní na hektár TTP),  degresivita platieb </w:t>
      </w:r>
      <w:r w:rsidR="00886678">
        <w:t>sú bez zmien.</w:t>
      </w:r>
    </w:p>
    <w:p w:rsidR="00886678" w:rsidRDefault="00886678" w:rsidP="00886678">
      <w:pPr>
        <w:jc w:val="both"/>
        <w:rPr>
          <w:b/>
        </w:rPr>
      </w:pPr>
      <w:r w:rsidRPr="00886678">
        <w:rPr>
          <w:b/>
        </w:rPr>
        <w:t>Predpokladané platby pre ANC v prechodnom období</w:t>
      </w:r>
    </w:p>
    <w:tbl>
      <w:tblPr>
        <w:tblStyle w:val="TableGrid"/>
        <w:tblW w:w="0" w:type="auto"/>
        <w:tblLook w:val="04A0"/>
      </w:tblPr>
      <w:tblGrid>
        <w:gridCol w:w="1132"/>
        <w:gridCol w:w="1273"/>
        <w:gridCol w:w="1559"/>
      </w:tblGrid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ANC</w:t>
            </w:r>
          </w:p>
        </w:tc>
        <w:tc>
          <w:tcPr>
            <w:tcW w:w="2832" w:type="dxa"/>
            <w:gridSpan w:val="2"/>
          </w:tcPr>
          <w:p w:rsidR="00853D0B" w:rsidRPr="00853D0B" w:rsidRDefault="00853D0B" w:rsidP="00322132">
            <w:pPr>
              <w:jc w:val="center"/>
            </w:pPr>
            <w:r w:rsidRPr="00853D0B">
              <w:t>Platba €/ha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  <w:rPr>
                <w:b/>
              </w:rPr>
            </w:pPr>
            <w:r w:rsidRPr="00853D0B">
              <w:rPr>
                <w:b/>
              </w:rPr>
              <w:t>Horské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  <w:rPr>
                <w:b/>
              </w:rPr>
            </w:pPr>
            <w:r w:rsidRPr="00853D0B">
              <w:rPr>
                <w:b/>
              </w:rPr>
              <w:t>OP</w:t>
            </w:r>
            <w:r>
              <w:rPr>
                <w:b/>
              </w:rPr>
              <w:t>+TK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  <w:rPr>
                <w:b/>
              </w:rPr>
            </w:pPr>
            <w:r w:rsidRPr="00853D0B">
              <w:rPr>
                <w:b/>
              </w:rPr>
              <w:t>TTP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H1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110,67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162,75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H2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98,99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145,57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H3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90,31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132,82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H4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76,58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112,61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  <w:rPr>
                <w:b/>
              </w:rPr>
            </w:pPr>
            <w:r w:rsidRPr="00853D0B">
              <w:rPr>
                <w:b/>
              </w:rPr>
              <w:t>Ostatné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  <w:rPr>
                <w:b/>
              </w:rPr>
            </w:pPr>
            <w:r w:rsidRPr="00853D0B">
              <w:rPr>
                <w:b/>
              </w:rPr>
              <w:t>OP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  <w:rPr>
                <w:b/>
              </w:rPr>
            </w:pPr>
            <w:r w:rsidRPr="00853D0B">
              <w:rPr>
                <w:b/>
              </w:rPr>
              <w:t>TTP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BK1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51,12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75,18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BK2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74,13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109,02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BK3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48,01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70,60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BK4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89,60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131,77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BK5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86,93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127,84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BKA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59,97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88,20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  <w:rPr>
                <w:b/>
              </w:rPr>
            </w:pPr>
            <w:r w:rsidRPr="00853D0B">
              <w:rPr>
                <w:b/>
              </w:rPr>
              <w:t>Špecifické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  <w:rPr>
                <w:b/>
              </w:rPr>
            </w:pPr>
            <w:r w:rsidRPr="00853D0B">
              <w:rPr>
                <w:b/>
              </w:rPr>
              <w:t>OP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  <w:rPr>
                <w:b/>
              </w:rPr>
            </w:pPr>
            <w:r w:rsidRPr="00853D0B">
              <w:rPr>
                <w:b/>
              </w:rPr>
              <w:t>TTP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OS1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61,01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89,72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OS2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30,06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44,20</w:t>
            </w:r>
          </w:p>
        </w:tc>
      </w:tr>
      <w:tr w:rsidR="00853D0B" w:rsidTr="00853D0B">
        <w:tc>
          <w:tcPr>
            <w:tcW w:w="1132" w:type="dxa"/>
          </w:tcPr>
          <w:p w:rsidR="00853D0B" w:rsidRPr="00853D0B" w:rsidRDefault="00853D0B" w:rsidP="00322132">
            <w:pPr>
              <w:jc w:val="center"/>
            </w:pPr>
            <w:r w:rsidRPr="00853D0B">
              <w:t>OS3</w:t>
            </w:r>
          </w:p>
        </w:tc>
        <w:tc>
          <w:tcPr>
            <w:tcW w:w="1273" w:type="dxa"/>
          </w:tcPr>
          <w:p w:rsidR="00853D0B" w:rsidRPr="00853D0B" w:rsidRDefault="00853D0B" w:rsidP="00322132">
            <w:pPr>
              <w:jc w:val="right"/>
            </w:pPr>
            <w:r w:rsidRPr="00853D0B">
              <w:t>53,81</w:t>
            </w:r>
          </w:p>
        </w:tc>
        <w:tc>
          <w:tcPr>
            <w:tcW w:w="1559" w:type="dxa"/>
          </w:tcPr>
          <w:p w:rsidR="00853D0B" w:rsidRPr="00853D0B" w:rsidRDefault="00853D0B" w:rsidP="00322132">
            <w:pPr>
              <w:jc w:val="right"/>
            </w:pPr>
            <w:r w:rsidRPr="00853D0B">
              <w:t>79,14</w:t>
            </w:r>
          </w:p>
        </w:tc>
      </w:tr>
    </w:tbl>
    <w:p w:rsidR="00886678" w:rsidRPr="00886678" w:rsidRDefault="00886678" w:rsidP="00886678">
      <w:pPr>
        <w:jc w:val="both"/>
        <w:rPr>
          <w:b/>
        </w:rPr>
      </w:pPr>
    </w:p>
    <w:p w:rsidR="005A50A1" w:rsidRDefault="00853D0B" w:rsidP="002602D6">
      <w:pPr>
        <w:jc w:val="both"/>
      </w:pPr>
      <w:r w:rsidRPr="00853D0B">
        <w:t>Do podpory sa zaraďujú aj nasledovné trvalé kultúry: ovocné sady, vinice a</w:t>
      </w:r>
      <w:r>
        <w:t> </w:t>
      </w:r>
      <w:r w:rsidRPr="00853D0B">
        <w:t>chmeľnice</w:t>
      </w:r>
      <w:r>
        <w:t>.</w:t>
      </w:r>
    </w:p>
    <w:p w:rsidR="00853D0B" w:rsidRDefault="00853D0B" w:rsidP="002602D6">
      <w:pPr>
        <w:jc w:val="both"/>
      </w:pPr>
    </w:p>
    <w:p w:rsidR="00853D0B" w:rsidRPr="00274B22" w:rsidRDefault="00853D0B" w:rsidP="002602D6">
      <w:pPr>
        <w:jc w:val="both"/>
        <w:rPr>
          <w:b/>
          <w:sz w:val="26"/>
          <w:szCs w:val="26"/>
          <w:u w:val="single"/>
        </w:rPr>
      </w:pPr>
      <w:r w:rsidRPr="00274B22">
        <w:rPr>
          <w:b/>
          <w:sz w:val="26"/>
          <w:szCs w:val="26"/>
          <w:u w:val="single"/>
        </w:rPr>
        <w:t>M14  Platba na dobré životné podmienky zvierat (AW)</w:t>
      </w:r>
    </w:p>
    <w:p w:rsidR="00BC507F" w:rsidRDefault="00BC507F" w:rsidP="00BC507F">
      <w:pPr>
        <w:jc w:val="both"/>
      </w:pPr>
      <w:r>
        <w:t>Dobré životné podmienky zvierat zahŕňajú tieto operácie:</w:t>
      </w:r>
    </w:p>
    <w:p w:rsidR="00BC507F" w:rsidRDefault="00BC507F" w:rsidP="00BC507F">
      <w:pPr>
        <w:jc w:val="both"/>
      </w:pPr>
      <w:r>
        <w:t>a) zlepšenie starostlivosti o dojnice,</w:t>
      </w:r>
    </w:p>
    <w:p w:rsidR="00BC507F" w:rsidRDefault="00BC507F" w:rsidP="00BC507F">
      <w:pPr>
        <w:jc w:val="both"/>
      </w:pPr>
      <w:r>
        <w:t>b) zlepšenie ustajňovacích podmienok výkrmových ošípaných,</w:t>
      </w:r>
    </w:p>
    <w:p w:rsidR="00BC507F" w:rsidRDefault="00BC507F" w:rsidP="00BC507F">
      <w:pPr>
        <w:jc w:val="both"/>
      </w:pPr>
      <w:r>
        <w:t>c) zlepšenie životných podmienok prasníc a prasiatok po narodení,</w:t>
      </w:r>
    </w:p>
    <w:p w:rsidR="00853D0B" w:rsidRPr="00853D0B" w:rsidRDefault="00BC507F" w:rsidP="00BC507F">
      <w:pPr>
        <w:jc w:val="both"/>
      </w:pPr>
      <w:r>
        <w:t>d) zlepšenie životných podmienok v chove hydiny.</w:t>
      </w:r>
    </w:p>
    <w:p w:rsidR="005A50A1" w:rsidRDefault="00BC507F" w:rsidP="002602D6">
      <w:pPr>
        <w:jc w:val="both"/>
        <w:rPr>
          <w:b/>
        </w:rPr>
      </w:pPr>
      <w:r w:rsidRPr="00BC507F">
        <w:rPr>
          <w:b/>
        </w:rPr>
        <w:t>Nové záväzky na roky 2021- 2022</w:t>
      </w:r>
    </w:p>
    <w:p w:rsidR="005F04DF" w:rsidRPr="00EB103D" w:rsidRDefault="005F04DF" w:rsidP="002602D6">
      <w:pPr>
        <w:jc w:val="both"/>
      </w:pPr>
      <w:r w:rsidRPr="00EB103D">
        <w:t>PPA vyhlási výzvu pre AW v roku 2021 a v roku 2022.</w:t>
      </w:r>
    </w:p>
    <w:p w:rsidR="005A50A1" w:rsidRDefault="00BC507F" w:rsidP="002602D6">
      <w:pPr>
        <w:jc w:val="both"/>
      </w:pPr>
      <w:r w:rsidRPr="00BC507F">
        <w:t xml:space="preserve">Podmienky, pravidlá opatrenia </w:t>
      </w:r>
      <w:r>
        <w:t>sa navrhuj</w:t>
      </w:r>
      <w:r w:rsidR="005F04DF">
        <w:t>ú</w:t>
      </w:r>
      <w:r>
        <w:t xml:space="preserve"> s nasledovnými úpravami:</w:t>
      </w:r>
    </w:p>
    <w:p w:rsidR="00BC507F" w:rsidRPr="00BC507F" w:rsidRDefault="00BC507F" w:rsidP="002602D6">
      <w:pPr>
        <w:jc w:val="both"/>
      </w:pPr>
      <w:r w:rsidRPr="00BC507F">
        <w:rPr>
          <w:b/>
        </w:rPr>
        <w:t>Retenčné obdobie</w:t>
      </w:r>
      <w:r>
        <w:t xml:space="preserve"> pre </w:t>
      </w:r>
      <w:r w:rsidRPr="00BC507F">
        <w:t xml:space="preserve">zlepšenie starostlivosti o </w:t>
      </w:r>
      <w:r w:rsidRPr="00BC507F">
        <w:rPr>
          <w:b/>
        </w:rPr>
        <w:t>dojnice</w:t>
      </w:r>
      <w:r w:rsidRPr="00BC507F">
        <w:t xml:space="preserve"> a zlepšenie životných podmienok </w:t>
      </w:r>
      <w:r w:rsidRPr="00BC507F">
        <w:rPr>
          <w:b/>
        </w:rPr>
        <w:t>prasníc a prasiatok</w:t>
      </w:r>
      <w:r w:rsidRPr="00BC507F">
        <w:t xml:space="preserve"> po narodení</w:t>
      </w:r>
      <w:r>
        <w:t xml:space="preserve">,  </w:t>
      </w:r>
      <w:r w:rsidRPr="00BC507F">
        <w:t>podľa ktorého sa určí počet dobytčích jednotiek oprávnených na platbu</w:t>
      </w:r>
      <w:r>
        <w:t>:</w:t>
      </w:r>
    </w:p>
    <w:p w:rsidR="005A50A1" w:rsidRDefault="00BC507F" w:rsidP="00BC507F">
      <w:pPr>
        <w:pStyle w:val="ListParagraph"/>
        <w:numPr>
          <w:ilvl w:val="0"/>
          <w:numId w:val="14"/>
        </w:numPr>
        <w:jc w:val="both"/>
      </w:pPr>
      <w:r w:rsidRPr="00BC507F">
        <w:t>Retenčné obdobie bude skrátené na 10 mesiacov,  od 1. mája  roku podania žiadosti do 28. februára nasledujúceho roku.</w:t>
      </w:r>
    </w:p>
    <w:p w:rsidR="00BC507F" w:rsidRDefault="00BC507F" w:rsidP="00BC507F">
      <w:pPr>
        <w:pStyle w:val="ListParagraph"/>
        <w:numPr>
          <w:ilvl w:val="0"/>
          <w:numId w:val="14"/>
        </w:numPr>
        <w:jc w:val="both"/>
      </w:pPr>
      <w:r w:rsidRPr="00BC507F">
        <w:lastRenderedPageBreak/>
        <w:t>Za porušenie retenčného obdobia sa nebudú považovať dočasné presuny dojníc, v rozsahu do 14 dní napr. z dôvodu výstav a súťaží. Náhrada dojníc sa nebude v tomto prípade vyžadovať.</w:t>
      </w:r>
    </w:p>
    <w:p w:rsidR="00BC507F" w:rsidRPr="00BC507F" w:rsidRDefault="00BC507F" w:rsidP="00BC507F">
      <w:pPr>
        <w:jc w:val="both"/>
        <w:rPr>
          <w:b/>
        </w:rPr>
      </w:pPr>
      <w:r w:rsidRPr="00BC507F">
        <w:rPr>
          <w:b/>
        </w:rPr>
        <w:t>Predaj zvierat:</w:t>
      </w:r>
    </w:p>
    <w:p w:rsidR="00BC507F" w:rsidRPr="00BC507F" w:rsidRDefault="00BC507F" w:rsidP="00BC507F">
      <w:pPr>
        <w:jc w:val="both"/>
      </w:pPr>
      <w:r w:rsidRPr="00BC507F">
        <w:t>Pre zlepšenie ustajňovacích podmienok výkrmových ošípaných bude navyše oproti aktuálnemu stavu zohľadnený aj predaj ošípanej na domácu spotrebu.</w:t>
      </w:r>
    </w:p>
    <w:p w:rsidR="005A50A1" w:rsidRDefault="00BC507F" w:rsidP="002602D6">
      <w:pPr>
        <w:jc w:val="both"/>
        <w:rPr>
          <w:b/>
        </w:rPr>
      </w:pPr>
      <w:r w:rsidRPr="00BC507F">
        <w:rPr>
          <w:b/>
        </w:rPr>
        <w:t>Predpokladané platby pre AW v prechodnom období</w:t>
      </w:r>
    </w:p>
    <w:tbl>
      <w:tblPr>
        <w:tblStyle w:val="TableGrid"/>
        <w:tblW w:w="4531" w:type="dxa"/>
        <w:tblLook w:val="04A0"/>
      </w:tblPr>
      <w:tblGrid>
        <w:gridCol w:w="2263"/>
        <w:gridCol w:w="2268"/>
      </w:tblGrid>
      <w:tr w:rsidR="00E65680" w:rsidTr="00E65680">
        <w:tc>
          <w:tcPr>
            <w:tcW w:w="2263" w:type="dxa"/>
          </w:tcPr>
          <w:p w:rsidR="00E65680" w:rsidRDefault="00E65680" w:rsidP="00322132">
            <w:pPr>
              <w:pStyle w:val="ListParagraph"/>
              <w:ind w:left="360"/>
            </w:pPr>
            <w:r>
              <w:t>Druh</w:t>
            </w:r>
          </w:p>
        </w:tc>
        <w:tc>
          <w:tcPr>
            <w:tcW w:w="2268" w:type="dxa"/>
          </w:tcPr>
          <w:p w:rsidR="00E65680" w:rsidRPr="00E65680" w:rsidRDefault="00E65680" w:rsidP="00322132">
            <w:pPr>
              <w:jc w:val="center"/>
            </w:pPr>
            <w:r w:rsidRPr="00E65680">
              <w:t>Platba €/DJ</w:t>
            </w:r>
          </w:p>
        </w:tc>
      </w:tr>
      <w:tr w:rsidR="00E65680" w:rsidTr="00E65680">
        <w:tc>
          <w:tcPr>
            <w:tcW w:w="2263" w:type="dxa"/>
          </w:tcPr>
          <w:p w:rsidR="00E65680" w:rsidRPr="00485694" w:rsidRDefault="00E65680" w:rsidP="00E65680">
            <w:pPr>
              <w:pStyle w:val="ListParagraph"/>
              <w:numPr>
                <w:ilvl w:val="0"/>
                <w:numId w:val="9"/>
              </w:numPr>
            </w:pPr>
            <w:r>
              <w:t>Dojnice</w:t>
            </w:r>
          </w:p>
        </w:tc>
        <w:tc>
          <w:tcPr>
            <w:tcW w:w="2268" w:type="dxa"/>
          </w:tcPr>
          <w:p w:rsidR="00E65680" w:rsidRPr="00E65680" w:rsidRDefault="00E65680" w:rsidP="008A34D6">
            <w:pPr>
              <w:jc w:val="center"/>
            </w:pPr>
            <w:r w:rsidRPr="00E65680">
              <w:t>145,2</w:t>
            </w:r>
            <w:r w:rsidR="008A34D6">
              <w:t>8</w:t>
            </w:r>
          </w:p>
        </w:tc>
      </w:tr>
      <w:tr w:rsidR="00E65680" w:rsidTr="00E65680">
        <w:tc>
          <w:tcPr>
            <w:tcW w:w="2263" w:type="dxa"/>
          </w:tcPr>
          <w:p w:rsidR="00E65680" w:rsidRPr="00485694" w:rsidRDefault="00E65680" w:rsidP="00E65680">
            <w:pPr>
              <w:pStyle w:val="ListParagraph"/>
              <w:numPr>
                <w:ilvl w:val="0"/>
                <w:numId w:val="9"/>
              </w:numPr>
            </w:pPr>
            <w:r>
              <w:t>Výkrm ošípaných</w:t>
            </w:r>
          </w:p>
        </w:tc>
        <w:tc>
          <w:tcPr>
            <w:tcW w:w="2268" w:type="dxa"/>
          </w:tcPr>
          <w:p w:rsidR="00E65680" w:rsidRPr="00E65680" w:rsidRDefault="00E65680" w:rsidP="008A34D6">
            <w:pPr>
              <w:jc w:val="center"/>
            </w:pPr>
            <w:r w:rsidRPr="00E65680">
              <w:t>37,7</w:t>
            </w:r>
            <w:r w:rsidR="008A34D6">
              <w:t>3</w:t>
            </w:r>
          </w:p>
        </w:tc>
      </w:tr>
      <w:tr w:rsidR="00E65680" w:rsidTr="00E65680">
        <w:tc>
          <w:tcPr>
            <w:tcW w:w="2263" w:type="dxa"/>
          </w:tcPr>
          <w:p w:rsidR="00E65680" w:rsidRDefault="00E65680" w:rsidP="00E65680">
            <w:pPr>
              <w:pStyle w:val="ListParagraph"/>
              <w:numPr>
                <w:ilvl w:val="0"/>
                <w:numId w:val="9"/>
              </w:numPr>
            </w:pPr>
            <w:r>
              <w:t>Prasnice</w:t>
            </w:r>
          </w:p>
        </w:tc>
        <w:tc>
          <w:tcPr>
            <w:tcW w:w="2268" w:type="dxa"/>
          </w:tcPr>
          <w:p w:rsidR="00E65680" w:rsidRPr="00E65680" w:rsidRDefault="00E65680" w:rsidP="008A34D6">
            <w:pPr>
              <w:jc w:val="center"/>
            </w:pPr>
            <w:r w:rsidRPr="00E65680">
              <w:t>170,</w:t>
            </w:r>
            <w:r w:rsidR="008A34D6">
              <w:t>11</w:t>
            </w:r>
          </w:p>
        </w:tc>
      </w:tr>
      <w:tr w:rsidR="00E65680" w:rsidTr="00E65680">
        <w:tc>
          <w:tcPr>
            <w:tcW w:w="2263" w:type="dxa"/>
          </w:tcPr>
          <w:p w:rsidR="00E65680" w:rsidRDefault="00E65680" w:rsidP="00E65680">
            <w:pPr>
              <w:pStyle w:val="ListParagraph"/>
              <w:numPr>
                <w:ilvl w:val="0"/>
                <w:numId w:val="9"/>
              </w:numPr>
            </w:pPr>
            <w:r>
              <w:t>Hydina</w:t>
            </w:r>
          </w:p>
        </w:tc>
        <w:tc>
          <w:tcPr>
            <w:tcW w:w="2268" w:type="dxa"/>
          </w:tcPr>
          <w:p w:rsidR="00E65680" w:rsidRPr="00E65680" w:rsidRDefault="00E65680" w:rsidP="00322132">
            <w:pPr>
              <w:jc w:val="center"/>
            </w:pPr>
            <w:r w:rsidRPr="00E65680">
              <w:t>119,42</w:t>
            </w:r>
          </w:p>
        </w:tc>
      </w:tr>
    </w:tbl>
    <w:p w:rsidR="00BC507F" w:rsidRPr="00BC507F" w:rsidRDefault="00BC507F" w:rsidP="002602D6">
      <w:pPr>
        <w:jc w:val="both"/>
        <w:rPr>
          <w:b/>
        </w:rPr>
      </w:pPr>
    </w:p>
    <w:p w:rsidR="00BC507F" w:rsidRPr="00274B22" w:rsidRDefault="00E65680" w:rsidP="002602D6">
      <w:pPr>
        <w:jc w:val="both"/>
        <w:rPr>
          <w:b/>
          <w:sz w:val="26"/>
          <w:szCs w:val="26"/>
          <w:u w:val="single"/>
        </w:rPr>
      </w:pPr>
      <w:r w:rsidRPr="00274B22">
        <w:rPr>
          <w:b/>
          <w:sz w:val="26"/>
          <w:szCs w:val="26"/>
          <w:u w:val="single"/>
        </w:rPr>
        <w:t>M15 Platba na lesnícko-environmentálne a klimatické služby a ochranu lesov</w:t>
      </w:r>
      <w:r w:rsidR="00D13C7B" w:rsidRPr="00274B22">
        <w:rPr>
          <w:b/>
          <w:sz w:val="26"/>
          <w:szCs w:val="26"/>
          <w:u w:val="single"/>
        </w:rPr>
        <w:t xml:space="preserve"> (LEKS)</w:t>
      </w:r>
    </w:p>
    <w:p w:rsidR="00E65680" w:rsidRPr="00E65680" w:rsidRDefault="00E65680" w:rsidP="00E65680">
      <w:pPr>
        <w:jc w:val="both"/>
      </w:pPr>
      <w:r w:rsidRPr="00E65680">
        <w:t>Lesnícko-environmentálne a klimatické služby a ochrana lesov zahŕňa tieto operácie:</w:t>
      </w:r>
    </w:p>
    <w:p w:rsidR="00E65680" w:rsidRPr="00E65680" w:rsidRDefault="00E65680" w:rsidP="00E65680">
      <w:pPr>
        <w:jc w:val="both"/>
      </w:pPr>
      <w:r w:rsidRPr="00E65680">
        <w:t>a) platby na lesnícko-environmentálne záväzky v chránených vtáčích územiach,</w:t>
      </w:r>
    </w:p>
    <w:p w:rsidR="00E65680" w:rsidRPr="00E65680" w:rsidRDefault="00E65680" w:rsidP="00E65680">
      <w:pPr>
        <w:jc w:val="both"/>
      </w:pPr>
      <w:r w:rsidRPr="00E65680">
        <w:t>b) platby na lesnícko-environmentálne záväzky v územiach európskeho významu.</w:t>
      </w:r>
    </w:p>
    <w:p w:rsidR="005A50A1" w:rsidRDefault="00E65680" w:rsidP="002602D6">
      <w:pPr>
        <w:jc w:val="both"/>
        <w:rPr>
          <w:b/>
          <w:u w:val="single"/>
        </w:rPr>
      </w:pPr>
      <w:r>
        <w:rPr>
          <w:b/>
          <w:u w:val="single"/>
        </w:rPr>
        <w:t>Realizácia opatrenia v rokoch 2021-2022</w:t>
      </w:r>
    </w:p>
    <w:p w:rsidR="00EB103D" w:rsidRDefault="00EB103D" w:rsidP="002602D6">
      <w:pPr>
        <w:jc w:val="both"/>
      </w:pPr>
      <w:r>
        <w:t>Žiadne nové výzvy nebudú.</w:t>
      </w:r>
    </w:p>
    <w:p w:rsidR="00E65680" w:rsidRDefault="00D13C7B" w:rsidP="002602D6">
      <w:pPr>
        <w:jc w:val="both"/>
      </w:pPr>
      <w:r>
        <w:t>V súlade s legislatívou ES sa u</w:t>
      </w:r>
      <w:r w:rsidR="005F04DF">
        <w:t>možní</w:t>
      </w:r>
      <w:r>
        <w:t>oprávneným žiadateľom, ktorí sú v existujúcich záväzkoch LEKS</w:t>
      </w:r>
      <w:r w:rsidR="00EB103D">
        <w:t>,</w:t>
      </w:r>
      <w:r>
        <w:t xml:space="preserve"> len ich </w:t>
      </w:r>
      <w:r w:rsidR="005F04DF">
        <w:t xml:space="preserve">dobrovoľné </w:t>
      </w:r>
      <w:r>
        <w:t>predĺženiena prechodné obdob</w:t>
      </w:r>
      <w:r w:rsidR="005F04DF">
        <w:t>ie</w:t>
      </w:r>
      <w:r>
        <w:t>.</w:t>
      </w:r>
    </w:p>
    <w:p w:rsidR="00D13C7B" w:rsidRPr="00E65680" w:rsidRDefault="00D13C7B" w:rsidP="002602D6">
      <w:pPr>
        <w:jc w:val="both"/>
      </w:pPr>
      <w:r>
        <w:t xml:space="preserve">Pravidlá, podmienky a výška platieb </w:t>
      </w:r>
      <w:r w:rsidR="005F04DF">
        <w:t xml:space="preserve">opatrenia </w:t>
      </w:r>
      <w:r>
        <w:t>sa nemenia.</w:t>
      </w:r>
    </w:p>
    <w:p w:rsidR="005A50A1" w:rsidRDefault="005A50A1" w:rsidP="002602D6">
      <w:pPr>
        <w:jc w:val="both"/>
        <w:rPr>
          <w:b/>
          <w:u w:val="single"/>
        </w:rPr>
      </w:pPr>
    </w:p>
    <w:p w:rsidR="005A50A1" w:rsidRDefault="005A50A1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A66FD0" w:rsidRDefault="00A66FD0" w:rsidP="005A50A1">
      <w:pPr>
        <w:spacing w:after="0" w:line="276" w:lineRule="auto"/>
        <w:rPr>
          <w:rFonts w:cstheme="minorHAnsi"/>
          <w:b/>
          <w:i/>
        </w:rPr>
      </w:pPr>
    </w:p>
    <w:p w:rsidR="005F04DF" w:rsidRPr="006C03D0" w:rsidRDefault="005F04DF" w:rsidP="005A50A1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6C03D0">
        <w:rPr>
          <w:rFonts w:cstheme="minorHAnsi"/>
          <w:b/>
          <w:sz w:val="24"/>
          <w:szCs w:val="24"/>
          <w:u w:val="single"/>
        </w:rPr>
        <w:lastRenderedPageBreak/>
        <w:t>Informácia o finančnom zabezpečení neprojektových opatrení v prechodnom období.</w:t>
      </w:r>
    </w:p>
    <w:p w:rsidR="005F04DF" w:rsidRDefault="006C03D0" w:rsidP="00A87E19">
      <w:pPr>
        <w:spacing w:after="0" w:line="276" w:lineRule="auto"/>
        <w:jc w:val="both"/>
        <w:rPr>
          <w:rFonts w:cstheme="minorHAnsi"/>
        </w:rPr>
      </w:pPr>
      <w:r w:rsidRPr="006C03D0">
        <w:rPr>
          <w:rFonts w:cstheme="minorHAnsi"/>
        </w:rPr>
        <w:t>Z pre</w:t>
      </w:r>
      <w:r>
        <w:rPr>
          <w:rFonts w:cstheme="minorHAnsi"/>
        </w:rPr>
        <w:t>h</w:t>
      </w:r>
      <w:r w:rsidRPr="006C03D0">
        <w:rPr>
          <w:rFonts w:cstheme="minorHAnsi"/>
        </w:rPr>
        <w:t xml:space="preserve">ľadu </w:t>
      </w:r>
      <w:r>
        <w:rPr>
          <w:rFonts w:cstheme="minorHAnsi"/>
        </w:rPr>
        <w:t xml:space="preserve">predpokladaných platieb vyplýva, že sa  </w:t>
      </w:r>
      <w:r w:rsidR="002316DC">
        <w:rPr>
          <w:rFonts w:cstheme="minorHAnsi"/>
        </w:rPr>
        <w:t xml:space="preserve">významne </w:t>
      </w:r>
      <w:r>
        <w:rPr>
          <w:rFonts w:cstheme="minorHAnsi"/>
        </w:rPr>
        <w:t>navyšujú platby v ANC a AW, čiastočne v</w:t>
      </w:r>
      <w:r w:rsidR="00A87E19">
        <w:rPr>
          <w:rFonts w:cstheme="minorHAnsi"/>
        </w:rPr>
        <w:t> </w:t>
      </w:r>
      <w:r>
        <w:rPr>
          <w:rFonts w:cstheme="minorHAnsi"/>
        </w:rPr>
        <w:t>ekologi</w:t>
      </w:r>
      <w:r w:rsidR="00A87E19">
        <w:rPr>
          <w:rFonts w:cstheme="minorHAnsi"/>
        </w:rPr>
        <w:t>ckom poľnohospodárstve.  Z analýz, ktoré sme spracovali, tiež vyplýva zvýšený záujem poľnohospodárov o zapojenie sa</w:t>
      </w:r>
      <w:r w:rsidR="00A66FD0">
        <w:rPr>
          <w:rFonts w:cstheme="minorHAnsi"/>
        </w:rPr>
        <w:t>,</w:t>
      </w:r>
      <w:r w:rsidR="00A87E19">
        <w:rPr>
          <w:rFonts w:cstheme="minorHAnsi"/>
        </w:rPr>
        <w:t xml:space="preserve"> hlavné nových žiadateľov</w:t>
      </w:r>
      <w:r w:rsidR="00A66FD0">
        <w:rPr>
          <w:rFonts w:cstheme="minorHAnsi"/>
        </w:rPr>
        <w:t>,</w:t>
      </w:r>
      <w:r w:rsidR="00A87E19">
        <w:rPr>
          <w:rFonts w:cstheme="minorHAnsi"/>
        </w:rPr>
        <w:t xml:space="preserve"> do podpôr v opatreniach AEKO, EP, AW. </w:t>
      </w:r>
      <w:r w:rsidR="00A87E19" w:rsidRPr="000A7044">
        <w:rPr>
          <w:rFonts w:cstheme="minorHAnsi"/>
        </w:rPr>
        <w:t>S týmto zvýšeným záujmom, navýšenými platbami sme samozrejme upravili finančný rozpočet pre roky 2021-2022</w:t>
      </w:r>
      <w:r w:rsidR="00A87E19">
        <w:rPr>
          <w:rFonts w:cstheme="minorHAnsi"/>
        </w:rPr>
        <w:t xml:space="preserve">. Na základe </w:t>
      </w:r>
      <w:r w:rsidR="00A66FD0">
        <w:rPr>
          <w:rFonts w:cstheme="minorHAnsi"/>
        </w:rPr>
        <w:t xml:space="preserve">týchto skutočností </w:t>
      </w:r>
      <w:r w:rsidR="00A87E19">
        <w:rPr>
          <w:rFonts w:cstheme="minorHAnsi"/>
        </w:rPr>
        <w:t xml:space="preserve">chceme ubezpečiť beneficientov </w:t>
      </w:r>
      <w:r w:rsidR="00A66FD0">
        <w:rPr>
          <w:rFonts w:cstheme="minorHAnsi"/>
        </w:rPr>
        <w:t>príslušných</w:t>
      </w:r>
      <w:r w:rsidR="00A87E19">
        <w:rPr>
          <w:rFonts w:cstheme="minorHAnsi"/>
        </w:rPr>
        <w:t xml:space="preserve"> opatrení</w:t>
      </w:r>
      <w:r w:rsidR="00A66FD0">
        <w:rPr>
          <w:rFonts w:cstheme="minorHAnsi"/>
        </w:rPr>
        <w:t xml:space="preserve"> (doterajších ako aj nových)</w:t>
      </w:r>
      <w:r w:rsidR="00A87E19">
        <w:rPr>
          <w:rFonts w:cstheme="minorHAnsi"/>
        </w:rPr>
        <w:t xml:space="preserve">, že </w:t>
      </w:r>
      <w:r w:rsidR="00A66FD0">
        <w:rPr>
          <w:rFonts w:cstheme="minorHAnsi"/>
        </w:rPr>
        <w:t>všetkých oprávnených žiadateľov predpokladáme zaradiť do podpôr bez uplatnenia výberových kritérií.</w:t>
      </w:r>
    </w:p>
    <w:p w:rsidR="00A66FD0" w:rsidRDefault="00A66FD0" w:rsidP="00A87E19">
      <w:pPr>
        <w:spacing w:after="0" w:line="276" w:lineRule="auto"/>
        <w:jc w:val="both"/>
        <w:rPr>
          <w:rFonts w:cstheme="minorHAnsi"/>
        </w:rPr>
      </w:pPr>
    </w:p>
    <w:p w:rsidR="00274B22" w:rsidRDefault="00274B22" w:rsidP="005A50A1">
      <w:pPr>
        <w:spacing w:after="0" w:line="276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Legislatívne zabezpečenie realizácie opatrení v prechodnom období:</w:t>
      </w:r>
    </w:p>
    <w:p w:rsidR="00274B22" w:rsidRDefault="00C4218C" w:rsidP="00C4218C">
      <w:pPr>
        <w:pStyle w:val="ListParagraph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theme="minorHAnsi"/>
          <w:i/>
        </w:rPr>
      </w:pPr>
      <w:r w:rsidRPr="00C4218C">
        <w:rPr>
          <w:rFonts w:cstheme="minorHAnsi"/>
          <w:i/>
        </w:rPr>
        <w:t>NARIADENIE EURÓPSKEHO PARLAMENTU A RADY (EÚ) 2020/2220 z 23. decembra 2020, ktorým sa stanovujú určité prechodné ustanovenia týkajúce sa podpory z Európskeho poľnohospodárskeho fondu pre rozvoj vidieka (EPFRV) a Európskeho poľnohospodárskeho záručného fondu (EPZF) v rokoch 2021 a 2022 a ktorým sa menia nariadenia (EÚ) č. 1305/2013, (EÚ) č. 1306/2013 a (EÚ) č. 1307/2013, pokiaľ ide o zdroje a uplatňovanie v rokoch 2021 a 2022, a nariadenie (EÚ) č. 1308/2013, pokiaľ ide o zdroje a distribúciu tejto podpory v rokoch 2021 a</w:t>
      </w:r>
      <w:r w:rsidR="005F04DF">
        <w:rPr>
          <w:rFonts w:cstheme="minorHAnsi"/>
          <w:i/>
        </w:rPr>
        <w:t> </w:t>
      </w:r>
      <w:r w:rsidRPr="00C4218C">
        <w:rPr>
          <w:rFonts w:cstheme="minorHAnsi"/>
          <w:i/>
        </w:rPr>
        <w:t>2022</w:t>
      </w:r>
      <w:r w:rsidR="005F04DF">
        <w:rPr>
          <w:rFonts w:cstheme="minorHAnsi"/>
          <w:i/>
        </w:rPr>
        <w:t>.</w:t>
      </w:r>
    </w:p>
    <w:p w:rsidR="009A551F" w:rsidRPr="005F04DF" w:rsidRDefault="002316DC" w:rsidP="009A551F">
      <w:pPr>
        <w:pStyle w:val="ListParagraph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theme="minorHAnsi"/>
          <w:i/>
        </w:rPr>
      </w:pPr>
      <w:r>
        <w:rPr>
          <w:rFonts w:cstheme="minorHAnsi"/>
          <w:b/>
          <w:i/>
        </w:rPr>
        <w:t xml:space="preserve">Návrh </w:t>
      </w:r>
      <w:r w:rsidR="009A551F" w:rsidRPr="005F04DF">
        <w:rPr>
          <w:rFonts w:cstheme="minorHAnsi"/>
          <w:b/>
          <w:i/>
        </w:rPr>
        <w:t>Nariadenia vlády Slovenskej republiky č. 75/2015 Z. z., ktorým sa ustanovujú pravidlá poskytovania podpory v súvislosti s opatreniami programu rozvoja vidieka v znení neskorších je v legislatívnom procese, pričom nariadenie by malo nadobudnúť účinnosť od apríla 2021.</w:t>
      </w:r>
    </w:p>
    <w:p w:rsidR="00274B22" w:rsidRDefault="00274B22" w:rsidP="005A50A1">
      <w:pPr>
        <w:spacing w:after="0" w:line="276" w:lineRule="auto"/>
        <w:rPr>
          <w:rFonts w:cstheme="minorHAnsi"/>
          <w:b/>
          <w:i/>
        </w:rPr>
      </w:pPr>
    </w:p>
    <w:p w:rsidR="00274B22" w:rsidRDefault="00274B22" w:rsidP="005A50A1">
      <w:pPr>
        <w:spacing w:after="0" w:line="276" w:lineRule="auto"/>
        <w:rPr>
          <w:rFonts w:cstheme="minorHAnsi"/>
          <w:b/>
          <w:i/>
        </w:rPr>
      </w:pPr>
    </w:p>
    <w:p w:rsidR="00274B22" w:rsidRPr="00427DA4" w:rsidRDefault="00427DA4" w:rsidP="005A50A1">
      <w:pPr>
        <w:spacing w:after="0" w:line="276" w:lineRule="auto"/>
        <w:rPr>
          <w:rFonts w:cstheme="minorHAnsi"/>
          <w:i/>
        </w:rPr>
      </w:pPr>
      <w:r w:rsidRPr="00427DA4">
        <w:rPr>
          <w:rFonts w:cstheme="minorHAnsi"/>
          <w:i/>
        </w:rPr>
        <w:t>Poznámka:</w:t>
      </w:r>
    </w:p>
    <w:p w:rsidR="00427DA4" w:rsidRPr="00427DA4" w:rsidRDefault="00427DA4" w:rsidP="005A50A1">
      <w:pPr>
        <w:spacing w:after="0" w:line="276" w:lineRule="auto"/>
        <w:rPr>
          <w:rFonts w:cstheme="minorHAnsi"/>
          <w:i/>
        </w:rPr>
      </w:pPr>
      <w:r w:rsidRPr="00427DA4">
        <w:rPr>
          <w:rFonts w:cstheme="minorHAnsi"/>
          <w:i/>
        </w:rPr>
        <w:t>Navrhované úpravy a zmeny podliehajú schváleniu EK.</w:t>
      </w:r>
    </w:p>
    <w:p w:rsidR="00274B22" w:rsidRDefault="00274B22" w:rsidP="005A50A1">
      <w:pPr>
        <w:spacing w:after="0" w:line="276" w:lineRule="auto"/>
        <w:rPr>
          <w:rFonts w:cstheme="minorHAnsi"/>
          <w:b/>
          <w:i/>
        </w:rPr>
      </w:pPr>
    </w:p>
    <w:p w:rsidR="00274B22" w:rsidRDefault="00274B22" w:rsidP="005A50A1">
      <w:pPr>
        <w:spacing w:after="0" w:line="276" w:lineRule="auto"/>
        <w:rPr>
          <w:rFonts w:cstheme="minorHAnsi"/>
          <w:b/>
          <w:i/>
        </w:rPr>
      </w:pPr>
    </w:p>
    <w:p w:rsidR="00274B22" w:rsidRDefault="00274B22" w:rsidP="005A50A1">
      <w:pPr>
        <w:spacing w:after="0" w:line="276" w:lineRule="auto"/>
        <w:rPr>
          <w:rFonts w:cstheme="minorHAnsi"/>
          <w:b/>
          <w:i/>
        </w:rPr>
      </w:pPr>
    </w:p>
    <w:p w:rsidR="005A50A1" w:rsidRPr="00DB543F" w:rsidRDefault="005A50A1" w:rsidP="005A50A1">
      <w:pPr>
        <w:spacing w:after="0" w:line="276" w:lineRule="auto"/>
        <w:rPr>
          <w:rFonts w:cstheme="minorHAnsi"/>
          <w:b/>
          <w:i/>
        </w:rPr>
      </w:pPr>
      <w:r w:rsidRPr="00DB543F">
        <w:rPr>
          <w:rFonts w:cstheme="minorHAnsi"/>
          <w:b/>
          <w:i/>
        </w:rPr>
        <w:t>Upozornenie:</w:t>
      </w:r>
    </w:p>
    <w:p w:rsidR="005A50A1" w:rsidRPr="00DB543F" w:rsidRDefault="005A50A1" w:rsidP="005A50A1">
      <w:pPr>
        <w:spacing w:after="0" w:line="276" w:lineRule="auto"/>
        <w:rPr>
          <w:rFonts w:cstheme="minorHAnsi"/>
          <w:b/>
          <w:i/>
        </w:rPr>
      </w:pPr>
      <w:r w:rsidRPr="00DB543F">
        <w:rPr>
          <w:rFonts w:cstheme="minorHAnsi"/>
          <w:b/>
          <w:i/>
        </w:rPr>
        <w:t>T</w:t>
      </w:r>
      <w:r w:rsidR="00A66FD0">
        <w:rPr>
          <w:rFonts w:cstheme="minorHAnsi"/>
          <w:b/>
          <w:i/>
        </w:rPr>
        <w:t>o</w:t>
      </w:r>
      <w:r w:rsidRPr="00DB543F">
        <w:rPr>
          <w:rFonts w:cstheme="minorHAnsi"/>
          <w:b/>
          <w:i/>
        </w:rPr>
        <w:t xml:space="preserve">to </w:t>
      </w:r>
      <w:r w:rsidR="00EB103D">
        <w:rPr>
          <w:rFonts w:cstheme="minorHAnsi"/>
          <w:b/>
          <w:i/>
        </w:rPr>
        <w:t>oznámenie</w:t>
      </w:r>
      <w:r w:rsidRPr="00DB543F">
        <w:rPr>
          <w:rFonts w:cstheme="minorHAnsi"/>
          <w:b/>
          <w:i/>
        </w:rPr>
        <w:t xml:space="preserve"> nie je právne záväzn</w:t>
      </w:r>
      <w:r w:rsidR="00EB103D">
        <w:rPr>
          <w:rFonts w:cstheme="minorHAnsi"/>
          <w:b/>
          <w:i/>
        </w:rPr>
        <w:t>é</w:t>
      </w:r>
      <w:r w:rsidRPr="00DB543F">
        <w:rPr>
          <w:rFonts w:cstheme="minorHAnsi"/>
          <w:b/>
          <w:i/>
        </w:rPr>
        <w:t>, má len informatívny charakter.</w:t>
      </w:r>
    </w:p>
    <w:p w:rsidR="005A50A1" w:rsidRPr="00A5378C" w:rsidRDefault="005A50A1" w:rsidP="002602D6">
      <w:pPr>
        <w:jc w:val="both"/>
        <w:rPr>
          <w:b/>
          <w:u w:val="single"/>
        </w:rPr>
      </w:pPr>
    </w:p>
    <w:sectPr w:rsidR="005A50A1" w:rsidRPr="00A5378C" w:rsidSect="0011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E57"/>
    <w:multiLevelType w:val="hybridMultilevel"/>
    <w:tmpl w:val="9214A8C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73696"/>
    <w:multiLevelType w:val="hybridMultilevel"/>
    <w:tmpl w:val="7DD4CE7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0D2E7A"/>
    <w:multiLevelType w:val="hybridMultilevel"/>
    <w:tmpl w:val="E9920D3C"/>
    <w:lvl w:ilvl="0" w:tplc="ED9E44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517EF"/>
    <w:multiLevelType w:val="hybridMultilevel"/>
    <w:tmpl w:val="E1AC06C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375721"/>
    <w:multiLevelType w:val="hybridMultilevel"/>
    <w:tmpl w:val="FEDE2C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35B9"/>
    <w:multiLevelType w:val="hybridMultilevel"/>
    <w:tmpl w:val="660C7A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085A77"/>
    <w:multiLevelType w:val="hybridMultilevel"/>
    <w:tmpl w:val="80BAFC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382EA6"/>
    <w:multiLevelType w:val="hybridMultilevel"/>
    <w:tmpl w:val="C2A60A3E"/>
    <w:lvl w:ilvl="0" w:tplc="1A7ED7B2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012E01"/>
    <w:multiLevelType w:val="hybridMultilevel"/>
    <w:tmpl w:val="1904F12E"/>
    <w:lvl w:ilvl="0" w:tplc="1A7ED7B2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985C44"/>
    <w:multiLevelType w:val="hybridMultilevel"/>
    <w:tmpl w:val="801C10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A4D9F"/>
    <w:multiLevelType w:val="hybridMultilevel"/>
    <w:tmpl w:val="171263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513F5D"/>
    <w:multiLevelType w:val="hybridMultilevel"/>
    <w:tmpl w:val="16B0D8A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476445"/>
    <w:multiLevelType w:val="hybridMultilevel"/>
    <w:tmpl w:val="50E28276"/>
    <w:lvl w:ilvl="0" w:tplc="1A7ED7B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01937"/>
    <w:multiLevelType w:val="hybridMultilevel"/>
    <w:tmpl w:val="24DA024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2D03B8"/>
    <w:multiLevelType w:val="hybridMultilevel"/>
    <w:tmpl w:val="4D4CDF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14"/>
  </w:num>
  <w:num w:numId="11">
    <w:abstractNumId w:val="2"/>
  </w:num>
  <w:num w:numId="12">
    <w:abstractNumId w:val="3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6622"/>
    <w:rsid w:val="000A7044"/>
    <w:rsid w:val="000E4FB5"/>
    <w:rsid w:val="001106DA"/>
    <w:rsid w:val="00110791"/>
    <w:rsid w:val="00210397"/>
    <w:rsid w:val="002316DC"/>
    <w:rsid w:val="002602D6"/>
    <w:rsid w:val="00274B22"/>
    <w:rsid w:val="00322132"/>
    <w:rsid w:val="00427DA4"/>
    <w:rsid w:val="004B2E89"/>
    <w:rsid w:val="004F5708"/>
    <w:rsid w:val="00502046"/>
    <w:rsid w:val="005679C9"/>
    <w:rsid w:val="005A50A1"/>
    <w:rsid w:val="005F04DF"/>
    <w:rsid w:val="00642D9D"/>
    <w:rsid w:val="006C03D0"/>
    <w:rsid w:val="00716724"/>
    <w:rsid w:val="00734BA8"/>
    <w:rsid w:val="00853D0B"/>
    <w:rsid w:val="00864517"/>
    <w:rsid w:val="00865D8F"/>
    <w:rsid w:val="00886678"/>
    <w:rsid w:val="008A34D6"/>
    <w:rsid w:val="008E22D5"/>
    <w:rsid w:val="008F0D06"/>
    <w:rsid w:val="00944C1D"/>
    <w:rsid w:val="009A551F"/>
    <w:rsid w:val="009B11B0"/>
    <w:rsid w:val="009E362D"/>
    <w:rsid w:val="00A44D32"/>
    <w:rsid w:val="00A5378C"/>
    <w:rsid w:val="00A66FD0"/>
    <w:rsid w:val="00A87E19"/>
    <w:rsid w:val="00AB041B"/>
    <w:rsid w:val="00AD14B2"/>
    <w:rsid w:val="00BC507F"/>
    <w:rsid w:val="00BD36E3"/>
    <w:rsid w:val="00BF66A6"/>
    <w:rsid w:val="00C4218C"/>
    <w:rsid w:val="00D0452C"/>
    <w:rsid w:val="00D13C7B"/>
    <w:rsid w:val="00D4079D"/>
    <w:rsid w:val="00D617A0"/>
    <w:rsid w:val="00DD5B83"/>
    <w:rsid w:val="00E03FE3"/>
    <w:rsid w:val="00E1002D"/>
    <w:rsid w:val="00E27DD1"/>
    <w:rsid w:val="00E566DF"/>
    <w:rsid w:val="00E65680"/>
    <w:rsid w:val="00EB103D"/>
    <w:rsid w:val="00EC6622"/>
    <w:rsid w:val="00F15C6A"/>
    <w:rsid w:val="00F37071"/>
    <w:rsid w:val="00F40F2D"/>
    <w:rsid w:val="00F9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72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716724"/>
    <w:rPr>
      <w:b/>
      <w:bCs/>
    </w:rPr>
  </w:style>
  <w:style w:type="paragraph" w:styleId="ListParagraph">
    <w:name w:val="List Paragraph"/>
    <w:basedOn w:val="Normal"/>
    <w:uiPriority w:val="34"/>
    <w:qFormat/>
    <w:rsid w:val="00BF66A6"/>
    <w:pPr>
      <w:ind w:left="720"/>
      <w:contextualSpacing/>
    </w:pPr>
  </w:style>
  <w:style w:type="table" w:styleId="TableGrid">
    <w:name w:val="Table Grid"/>
    <w:basedOn w:val="TableNormal"/>
    <w:uiPriority w:val="39"/>
    <w:rsid w:val="0026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3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6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C445-DCF7-40AF-AE25-39900D85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Trebatický Rudolf</dc:creator>
  <cp:lastModifiedBy>andrej</cp:lastModifiedBy>
  <cp:revision>2</cp:revision>
  <dcterms:created xsi:type="dcterms:W3CDTF">2021-03-25T08:38:00Z</dcterms:created>
  <dcterms:modified xsi:type="dcterms:W3CDTF">2021-03-25T08:38:00Z</dcterms:modified>
</cp:coreProperties>
</file>